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252B" w:rsidRDefault="001C252B" w:rsidP="007B76F4">
      <w:pPr>
        <w:spacing w:after="0" w:line="240" w:lineRule="auto"/>
        <w:rPr>
          <w:b/>
        </w:rPr>
      </w:pPr>
    </w:p>
    <w:p w:rsidR="00BE0F23" w:rsidRDefault="00BE0F23" w:rsidP="00A17D1D">
      <w:pPr>
        <w:spacing w:after="0"/>
        <w:rPr>
          <w:b/>
          <w:u w:val="single"/>
        </w:rPr>
      </w:pPr>
      <w:r w:rsidRPr="00BE0F23">
        <w:rPr>
          <w:b/>
          <w:u w:val="single"/>
        </w:rPr>
        <w:t>Mérőhely felülvizsgálat megfelelőségének feltételei</w:t>
      </w:r>
    </w:p>
    <w:p w:rsidR="00BE0F23" w:rsidRPr="00BE0F23" w:rsidRDefault="00BE0F23" w:rsidP="00A17D1D">
      <w:pPr>
        <w:spacing w:after="0"/>
        <w:rPr>
          <w:b/>
          <w:u w:val="single"/>
        </w:rPr>
      </w:pPr>
    </w:p>
    <w:p w:rsidR="00BE0F23" w:rsidRDefault="00BE0F23" w:rsidP="00BE0F23">
      <w:pP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 xml:space="preserve"> MEEVET</w:t>
      </w:r>
      <w:proofErr w:type="gramEnd"/>
      <w:r>
        <w:rPr>
          <w:rFonts w:ascii="Arial" w:hAnsi="Arial" w:cs="Arial"/>
          <w:sz w:val="20"/>
          <w:szCs w:val="20"/>
        </w:rPr>
        <w:t xml:space="preserve"> honlapján megjelent a „A fogyasztásmérőhely felülvizsgálatának részletes követelményei E.ON” című segédlet, mely E.ON ellátási területén a mérőhely átvételeknél a problémák kiküszöbölése, a követelmények egységesítése, az előírások és a szabványok azonos értelmezése céljából jött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étre.</w:t>
      </w:r>
    </w:p>
    <w:p w:rsidR="00BE0F23" w:rsidRDefault="00BE0F23" w:rsidP="00BE0F2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segédlet megtekinthető és letölthető az alábbi linkről: </w:t>
      </w:r>
      <w:hyperlink r:id="rId5" w:history="1">
        <w:r>
          <w:rPr>
            <w:rStyle w:val="Hiperhivatkozs"/>
            <w:rFonts w:ascii="Arial" w:hAnsi="Arial" w:cs="Arial"/>
            <w:sz w:val="20"/>
            <w:szCs w:val="20"/>
          </w:rPr>
          <w:t>https://kezikonyv.meevet.hu/</w:t>
        </w:r>
      </w:hyperlink>
    </w:p>
    <w:p w:rsidR="00BE0F23" w:rsidRDefault="00BE0F23" w:rsidP="00BE0F23">
      <w:pPr>
        <w:spacing w:after="0"/>
        <w:rPr>
          <w:b/>
        </w:rPr>
      </w:pPr>
    </w:p>
    <w:p w:rsidR="00BE0F23" w:rsidRPr="00A17D1D" w:rsidRDefault="00BE0F23" w:rsidP="00BE0F23">
      <w:pPr>
        <w:spacing w:after="0"/>
        <w:rPr>
          <w:b/>
        </w:rPr>
      </w:pPr>
      <w:bookmarkStart w:id="0" w:name="_GoBack"/>
      <w:bookmarkEnd w:id="0"/>
      <w:r w:rsidRPr="00A17D1D">
        <w:rPr>
          <w:b/>
        </w:rPr>
        <w:t>Műszaki tartalmú hírlevél 2020_1.</w:t>
      </w:r>
    </w:p>
    <w:p w:rsidR="00BE0F23" w:rsidRDefault="00BE0F23" w:rsidP="00A17D1D">
      <w:pPr>
        <w:spacing w:after="0"/>
      </w:pPr>
    </w:p>
    <w:p w:rsidR="00A17D1D" w:rsidRDefault="00A17D1D" w:rsidP="00A17D1D">
      <w:pPr>
        <w:spacing w:after="0"/>
      </w:pPr>
      <w:r>
        <w:t>2020.06.04.</w:t>
      </w:r>
    </w:p>
    <w:p w:rsidR="00A17D1D" w:rsidRDefault="00A17D1D" w:rsidP="00A17D1D">
      <w:pPr>
        <w:spacing w:after="0"/>
      </w:pPr>
    </w:p>
    <w:p w:rsidR="00AF2A99" w:rsidRDefault="00AF2A99" w:rsidP="00AF2A99">
      <w:r>
        <w:t>Tisztelt Parterünk!</w:t>
      </w:r>
    </w:p>
    <w:p w:rsidR="00AF2A99" w:rsidRDefault="00AF2A99" w:rsidP="00AF2A99">
      <w:r>
        <w:t xml:space="preserve">A tárggyal kapcsolatos aktuális információkat – </w:t>
      </w:r>
      <w:proofErr w:type="spellStart"/>
      <w:r>
        <w:t>tájékoztatásul</w:t>
      </w:r>
      <w:proofErr w:type="spellEnd"/>
      <w:r>
        <w:t xml:space="preserve"> – az alábbiakban foglaljuk össze:</w:t>
      </w:r>
    </w:p>
    <w:p w:rsidR="00AF2A99" w:rsidRDefault="00AF2A99" w:rsidP="00AF2A99">
      <w:pPr>
        <w:pStyle w:val="Listaszerbekezds"/>
        <w:numPr>
          <w:ilvl w:val="0"/>
          <w:numId w:val="2"/>
        </w:numPr>
        <w:spacing w:before="240"/>
        <w:ind w:left="709" w:hanging="352"/>
        <w:rPr>
          <w:b/>
          <w:bCs/>
        </w:rPr>
      </w:pPr>
      <w:r>
        <w:rPr>
          <w:b/>
          <w:bCs/>
        </w:rPr>
        <w:t>Fővezetéki sorkapcsok</w:t>
      </w:r>
    </w:p>
    <w:p w:rsidR="00AF2A99" w:rsidRDefault="00AF2A99" w:rsidP="00AF2A99">
      <w:pPr>
        <w:pStyle w:val="Listaszerbekezds"/>
        <w:numPr>
          <w:ilvl w:val="0"/>
          <w:numId w:val="15"/>
        </w:numPr>
        <w:spacing w:before="60"/>
        <w:ind w:hanging="357"/>
      </w:pPr>
      <w:r>
        <w:t>Amennyiben a rendszerengedéllyel rendelkező villamos szerkezet – pl. fogyasztásmérőszekrény, csatlakozó főelosztó – fővezetéki sorkapcsot tartalmaz, akkor az eredeti gyártó által beépített sorkapocs alkalmazhatóságát már nem kell külön vizsgálni. Az ilyen esetekben, a beépített sorkapcsot megfelelőnek kell tekinteni. Lásd az MSZ EN 61439 szabványsorozat követelményeit.</w:t>
      </w:r>
    </w:p>
    <w:p w:rsidR="00AF2A99" w:rsidRDefault="00AF2A99" w:rsidP="00AF2A99">
      <w:pPr>
        <w:pStyle w:val="Listaszerbekezds"/>
        <w:numPr>
          <w:ilvl w:val="0"/>
          <w:numId w:val="15"/>
        </w:numPr>
        <w:spacing w:before="60"/>
        <w:ind w:hanging="357"/>
      </w:pPr>
      <w:r>
        <w:t xml:space="preserve">Amennyiben – az E.ON ellátási területén – új fővezetéki sorkapocs beépítése, vagy a már korábban beépített sorkapocs cseréje szükséges, akkor a sorkapocs kiválasztása és szerelése, a </w:t>
      </w:r>
      <w:proofErr w:type="gramStart"/>
      <w:r>
        <w:t>csatolt  pdf</w:t>
      </w:r>
      <w:proofErr w:type="gramEnd"/>
      <w:r>
        <w:t xml:space="preserve">. dokumentumban meghatározottak szerint történhet. </w:t>
      </w:r>
    </w:p>
    <w:p w:rsidR="00AF2A99" w:rsidRDefault="00AF2A99" w:rsidP="00AF2A99">
      <w:pPr>
        <w:pStyle w:val="Listaszerbekezds"/>
        <w:numPr>
          <w:ilvl w:val="0"/>
          <w:numId w:val="2"/>
        </w:numPr>
        <w:spacing w:before="240"/>
        <w:ind w:left="709" w:hanging="352"/>
        <w:rPr>
          <w:b/>
          <w:bCs/>
        </w:rPr>
      </w:pPr>
      <w:r>
        <w:rPr>
          <w:b/>
          <w:bCs/>
        </w:rPr>
        <w:t>Szabadtéren elhelyezett szekrények</w:t>
      </w:r>
    </w:p>
    <w:p w:rsidR="00AF2A99" w:rsidRDefault="00AF2A99" w:rsidP="00AF2A99">
      <w:pPr>
        <w:pStyle w:val="Listaszerbekezds"/>
        <w:spacing w:before="60"/>
        <w:ind w:left="709"/>
      </w:pPr>
      <w:r>
        <w:t>A villamos szerkezet kiválasztásának és szerelésének meg kell felelnie a biztonsági, védelmi intézkedéseknek, a megfelelő működés és az előre látható külső hatások követelményeinek, valamint a beépítési környezetre vonatkozó szabványoknak. – Beleértve a napsugárzás elleni védettséget is.</w:t>
      </w:r>
    </w:p>
    <w:p w:rsidR="00AF2A99" w:rsidRDefault="00AF2A99" w:rsidP="00AF2A99">
      <w:pPr>
        <w:pStyle w:val="Listaszerbekezds"/>
        <w:spacing w:before="120"/>
        <w:ind w:left="709"/>
      </w:pPr>
      <w:r>
        <w:t>A szabadtéren elhelyezett fogyasztásmérőszekrények általában épületfalra, vagy földre telepítve kerülnek elhelyezésre.</w:t>
      </w:r>
    </w:p>
    <w:p w:rsidR="00AF2A99" w:rsidRDefault="00AF2A99" w:rsidP="00AF2A99">
      <w:pPr>
        <w:pStyle w:val="Listaszerbekezds"/>
        <w:spacing w:before="60"/>
        <w:ind w:left="993"/>
      </w:pPr>
      <w:r>
        <w:t xml:space="preserve">A fogyasztásmérőhely </w:t>
      </w:r>
    </w:p>
    <w:p w:rsidR="00AF2A99" w:rsidRDefault="00AF2A99" w:rsidP="00AF2A99">
      <w:pPr>
        <w:pStyle w:val="Listaszerbekezds"/>
        <w:numPr>
          <w:ilvl w:val="0"/>
          <w:numId w:val="16"/>
        </w:numPr>
        <w:spacing w:before="40"/>
        <w:ind w:hanging="357"/>
      </w:pPr>
      <w:r>
        <w:t xml:space="preserve">por és víz elleni védettsége IP 44, </w:t>
      </w:r>
    </w:p>
    <w:p w:rsidR="00AF2A99" w:rsidRDefault="00AF2A99" w:rsidP="00AF2A99">
      <w:pPr>
        <w:pStyle w:val="Listaszerbekezds"/>
        <w:numPr>
          <w:ilvl w:val="0"/>
          <w:numId w:val="16"/>
        </w:numPr>
        <w:spacing w:before="40"/>
        <w:ind w:hanging="357"/>
      </w:pPr>
      <w:r>
        <w:t xml:space="preserve">ütésállósága </w:t>
      </w:r>
    </w:p>
    <w:p w:rsidR="00AF2A99" w:rsidRDefault="00AF2A99" w:rsidP="00AF2A99">
      <w:pPr>
        <w:pStyle w:val="Listaszerbekezds"/>
        <w:numPr>
          <w:ilvl w:val="0"/>
          <w:numId w:val="17"/>
        </w:numPr>
        <w:ind w:hanging="357"/>
      </w:pPr>
      <w:r>
        <w:t>külső épületfalon történő elhelyezés esetén min. IK8,</w:t>
      </w:r>
    </w:p>
    <w:p w:rsidR="00AF2A99" w:rsidRDefault="00AF2A99" w:rsidP="00AF2A99">
      <w:pPr>
        <w:pStyle w:val="Listaszerbekezds"/>
        <w:numPr>
          <w:ilvl w:val="0"/>
          <w:numId w:val="17"/>
        </w:numPr>
        <w:ind w:hanging="357"/>
      </w:pPr>
      <w:r>
        <w:t>körbejárható – földre telepített – szekrény esetén min. IK10 legyen.</w:t>
      </w:r>
    </w:p>
    <w:p w:rsidR="00AF2A99" w:rsidRDefault="00AF2A99" w:rsidP="00AF2A99">
      <w:pPr>
        <w:spacing w:before="120"/>
        <w:ind w:left="993"/>
      </w:pPr>
      <w:r>
        <w:t xml:space="preserve">Javasolt a kész gyártmányként forgalomba hozott, rendszerengedéllyel rendelkező típusmegoldások alkalmazása (pl. földbe ásható rendszerengedéllyel rendelkező fogyasztásmérőhely). Ezek jellemzője, hogy a lekisebb költség elvén kerülnek forgalomba és teljesítik a velük szemben támasztott követelményeket. Ezáltal jelentősen javítható a sikertelen és sikeres bekapcsolások aránya. </w:t>
      </w:r>
    </w:p>
    <w:p w:rsidR="00AF2A99" w:rsidRDefault="00AF2A99" w:rsidP="00AF2A99">
      <w:pPr>
        <w:spacing w:before="120"/>
        <w:ind w:left="992"/>
        <w:rPr>
          <w:i/>
          <w:iCs/>
        </w:rPr>
      </w:pPr>
      <w:r>
        <w:rPr>
          <w:i/>
          <w:iCs/>
        </w:rPr>
        <w:t>Megjegyzés_</w:t>
      </w:r>
      <w:proofErr w:type="gramStart"/>
      <w:r>
        <w:rPr>
          <w:i/>
          <w:iCs/>
        </w:rPr>
        <w:t>1:   </w:t>
      </w:r>
      <w:proofErr w:type="gramEnd"/>
      <w:r>
        <w:rPr>
          <w:i/>
          <w:iCs/>
        </w:rPr>
        <w:t>  A rendszerengedéllyel rendelkező termékek alkalmazásától egyedi tervezési eljárás keretében el lehet térni, – de nem javasolt.</w:t>
      </w:r>
    </w:p>
    <w:p w:rsidR="00AF2A99" w:rsidRDefault="00AF2A99" w:rsidP="00AF2A99">
      <w:pPr>
        <w:spacing w:before="20"/>
        <w:ind w:left="2552" w:hanging="1559"/>
        <w:rPr>
          <w:i/>
          <w:iCs/>
        </w:rPr>
      </w:pPr>
      <w:r>
        <w:rPr>
          <w:i/>
          <w:iCs/>
        </w:rPr>
        <w:lastRenderedPageBreak/>
        <w:t>Megjegyzés_</w:t>
      </w:r>
      <w:proofErr w:type="gramStart"/>
      <w:r>
        <w:rPr>
          <w:i/>
          <w:iCs/>
        </w:rPr>
        <w:t>2:   </w:t>
      </w:r>
      <w:proofErr w:type="gramEnd"/>
      <w:r>
        <w:rPr>
          <w:i/>
          <w:iCs/>
        </w:rPr>
        <w:t>  Várhatóan 2020-ban további olyan rendszerengedéllyel rendelkező típusmegoldások jelennek meg, amelyek magukba foglalják a csatlakozó főelosztót, méretlen elosztást, fő földelősínt, fogyasztásmérő felszerelésére alkalmas teret, felhasználói mért főelosztót, valamint – opcionális – megoldást kínálnak a túlfeszültségvédelemi eszközök beépítésére is.</w:t>
      </w:r>
    </w:p>
    <w:p w:rsidR="00A17D1D" w:rsidRDefault="00A17D1D" w:rsidP="00AF2A99">
      <w:pPr>
        <w:spacing w:before="20"/>
        <w:ind w:left="2552" w:hanging="1559"/>
        <w:rPr>
          <w:i/>
          <w:iCs/>
        </w:rPr>
      </w:pPr>
    </w:p>
    <w:p w:rsidR="00A17D1D" w:rsidRDefault="00A17D1D" w:rsidP="00AF2A99">
      <w:pPr>
        <w:spacing w:before="20"/>
        <w:ind w:left="2552" w:hanging="1559"/>
        <w:rPr>
          <w:i/>
          <w:iCs/>
        </w:rPr>
      </w:pPr>
    </w:p>
    <w:p w:rsidR="00AF2A99" w:rsidRDefault="00AF2A99" w:rsidP="00AF2A99">
      <w:pPr>
        <w:pStyle w:val="Listaszerbekezds"/>
        <w:numPr>
          <w:ilvl w:val="0"/>
          <w:numId w:val="2"/>
        </w:numPr>
        <w:spacing w:before="240"/>
        <w:ind w:left="709" w:hanging="352"/>
        <w:rPr>
          <w:b/>
          <w:bCs/>
        </w:rPr>
      </w:pPr>
      <w:proofErr w:type="spellStart"/>
      <w:r>
        <w:rPr>
          <w:b/>
          <w:bCs/>
        </w:rPr>
        <w:t>Hálózatracsatlakoztatás</w:t>
      </w:r>
      <w:proofErr w:type="spellEnd"/>
    </w:p>
    <w:p w:rsidR="00AF2A99" w:rsidRDefault="00AF2A99" w:rsidP="00AF2A99">
      <w:pPr>
        <w:pStyle w:val="Listaszerbekezds"/>
        <w:spacing w:before="60"/>
        <w:ind w:left="709"/>
      </w:pPr>
      <w:r>
        <w:t xml:space="preserve">A bekapcsolás, </w:t>
      </w:r>
      <w:proofErr w:type="spellStart"/>
      <w:r>
        <w:t>hálózatracsatlakoztatás</w:t>
      </w:r>
      <w:proofErr w:type="spellEnd"/>
      <w:r>
        <w:t>, többletigény kielégítés végrehajtása, a mellékelt – egységes eljárást segítő – dokumentumban meghatározottak szerint történhet. Kérjük, hogy vállalásaiknál, kivitelezéseiknél szíveskedjenek figyelembe venni az abban foglaltakat is.</w:t>
      </w:r>
    </w:p>
    <w:p w:rsidR="00AF2A99" w:rsidRDefault="00AF2A99" w:rsidP="00AF2A99">
      <w:pPr>
        <w:pStyle w:val="Listaszerbekezds"/>
        <w:spacing w:before="60"/>
        <w:ind w:left="709"/>
        <w:rPr>
          <w:i/>
          <w:iCs/>
        </w:rPr>
      </w:pPr>
      <w:r>
        <w:t xml:space="preserve">A vonatkozó releváns előírásokról, műszaki biztonsági követelményekről, szakmai szabályokról a 2019-ben kiküldött hírlevelekben részletes tájékoztatást kaptak a regisztrált villanyszerelők. – Javasolt azok időszakos áttekintése, tanulmányozása.  </w:t>
      </w:r>
    </w:p>
    <w:p w:rsidR="00AF2A99" w:rsidRDefault="00A17D1D" w:rsidP="00D85E23">
      <w:r>
        <w:object w:dxaOrig="1538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AcroExch.Document.DC" ShapeID="_x0000_i1025" DrawAspect="Icon" ObjectID="_1660724428" r:id="rId7"/>
        </w:object>
      </w:r>
      <w:r>
        <w:object w:dxaOrig="1538" w:dyaOrig="991">
          <v:shape id="_x0000_i1026" type="#_x0000_t75" style="width:76.5pt;height:49.5pt" o:ole="">
            <v:imagedata r:id="rId8" o:title=""/>
          </v:shape>
          <o:OLEObject Type="Embed" ProgID="AcroExch.Document.DC" ShapeID="_x0000_i1026" DrawAspect="Icon" ObjectID="_1660724429" r:id="rId9"/>
        </w:object>
      </w:r>
    </w:p>
    <w:p w:rsidR="00A17D1D" w:rsidRDefault="00A17D1D" w:rsidP="00A17D1D">
      <w:pPr>
        <w:spacing w:after="0"/>
        <w:rPr>
          <w:b/>
        </w:rPr>
      </w:pPr>
    </w:p>
    <w:p w:rsidR="00A17D1D" w:rsidRDefault="00A17D1D" w:rsidP="00A17D1D">
      <w:pPr>
        <w:spacing w:after="0"/>
        <w:rPr>
          <w:b/>
        </w:rPr>
      </w:pPr>
    </w:p>
    <w:p w:rsidR="00A17D1D" w:rsidRPr="00A17D1D" w:rsidRDefault="00A17D1D" w:rsidP="00A17D1D">
      <w:pPr>
        <w:spacing w:after="0"/>
        <w:rPr>
          <w:b/>
        </w:rPr>
      </w:pPr>
      <w:r w:rsidRPr="00A17D1D">
        <w:rPr>
          <w:b/>
        </w:rPr>
        <w:t>Hírlevél, 2019_3. - Aktuális információk</w:t>
      </w:r>
    </w:p>
    <w:p w:rsidR="00A17D1D" w:rsidRDefault="00A17D1D" w:rsidP="00A17D1D">
      <w:pPr>
        <w:spacing w:after="0"/>
      </w:pPr>
      <w:r>
        <w:t>2</w:t>
      </w:r>
      <w:r w:rsidR="00D85E23">
        <w:t>019.07.19</w:t>
      </w:r>
    </w:p>
    <w:p w:rsidR="00A17D1D" w:rsidRDefault="00A17D1D" w:rsidP="00A17D1D">
      <w:pPr>
        <w:spacing w:after="0"/>
      </w:pPr>
    </w:p>
    <w:p w:rsidR="00D85E23" w:rsidRDefault="00D85E23" w:rsidP="00D85E23">
      <w:r>
        <w:t>Tisztelt Parterünk!</w:t>
      </w:r>
    </w:p>
    <w:p w:rsidR="00D85E23" w:rsidRDefault="00D85E23" w:rsidP="00D85E23">
      <w:r>
        <w:t xml:space="preserve">Az alábbi kérdéseket és az azokra adott válaszokat, </w:t>
      </w:r>
      <w:proofErr w:type="spellStart"/>
      <w:r>
        <w:t>tájékoztatásul</w:t>
      </w:r>
      <w:proofErr w:type="spellEnd"/>
      <w:r>
        <w:t xml:space="preserve"> küldjük meg Önnek:</w:t>
      </w:r>
    </w:p>
    <w:p w:rsidR="00D85E23" w:rsidRDefault="00D85E23" w:rsidP="00D85E23">
      <w:pPr>
        <w:pStyle w:val="Listaszerbekezds"/>
        <w:numPr>
          <w:ilvl w:val="0"/>
          <w:numId w:val="2"/>
        </w:numPr>
        <w:spacing w:before="240"/>
        <w:ind w:left="709" w:hanging="352"/>
        <w:rPr>
          <w:b/>
          <w:bCs/>
          <w:u w:val="single"/>
        </w:rPr>
      </w:pPr>
      <w:r>
        <w:rPr>
          <w:b/>
          <w:bCs/>
          <w:color w:val="000000"/>
          <w:u w:val="single"/>
        </w:rPr>
        <w:t>Mi a t</w:t>
      </w:r>
      <w:r>
        <w:rPr>
          <w:b/>
          <w:bCs/>
          <w:u w:val="single"/>
        </w:rPr>
        <w:t xml:space="preserve">ulajdonjogi határ a mellékelt Sz3-1 típusú csatlakozás esetén? </w:t>
      </w:r>
    </w:p>
    <w:p w:rsidR="00D85E23" w:rsidRDefault="00D85E23" w:rsidP="00D85E23">
      <w:pPr>
        <w:pStyle w:val="Listaszerbekezds"/>
        <w:numPr>
          <w:ilvl w:val="0"/>
          <w:numId w:val="3"/>
        </w:numPr>
        <w:spacing w:before="120"/>
        <w:ind w:left="1418"/>
      </w:pPr>
      <w:r>
        <w:t>A tulajdonjogi határ, a csatlakozási pont.</w:t>
      </w:r>
    </w:p>
    <w:p w:rsidR="00D85E23" w:rsidRDefault="00D85E23" w:rsidP="00D85E23">
      <w:pPr>
        <w:pStyle w:val="Listaszerbekezds"/>
        <w:spacing w:before="120"/>
        <w:ind w:left="1418"/>
      </w:pPr>
      <w:r>
        <w:t>Csatlakozási pont: A szigetelt szabadvezetékes csatlakozás felhasználó felőli végpontja.</w:t>
      </w:r>
    </w:p>
    <w:p w:rsidR="00D85E23" w:rsidRDefault="00D85E23" w:rsidP="00D85E23">
      <w:pPr>
        <w:pStyle w:val="Listaszerbekezds"/>
        <w:numPr>
          <w:ilvl w:val="0"/>
          <w:numId w:val="3"/>
        </w:numPr>
        <w:spacing w:before="120"/>
        <w:ind w:left="1418"/>
      </w:pPr>
      <w:r>
        <w:t>A csatlakozóvezetéket a hálózati engedélyes létesíti, a vonatkozó jogszabályban meghatározottak szerint.</w:t>
      </w:r>
    </w:p>
    <w:p w:rsidR="00D85E23" w:rsidRDefault="00D85E23" w:rsidP="00D85E23">
      <w:pPr>
        <w:pStyle w:val="Listaszerbekezds"/>
        <w:numPr>
          <w:ilvl w:val="0"/>
          <w:numId w:val="3"/>
        </w:numPr>
        <w:spacing w:before="120"/>
        <w:ind w:left="1418"/>
      </w:pPr>
      <w:r>
        <w:t xml:space="preserve">A felhasználó létesít/létesíttet mindent, ami a csatlakozási ponttól a felhasználói vezetékhálózat irányába esik (pl. oszlop, feszítési pont, védőcsövezés, méretlen, mért vezetékrendszer, beleértve a csatlakozófőelosztót, </w:t>
      </w:r>
      <w:proofErr w:type="spellStart"/>
      <w:r>
        <w:t>fogyasztásmérőhelyet</w:t>
      </w:r>
      <w:proofErr w:type="spellEnd"/>
      <w:r>
        <w:t xml:space="preserve"> is).</w:t>
      </w:r>
    </w:p>
    <w:p w:rsidR="00D85E23" w:rsidRDefault="00D85E23" w:rsidP="00D85E23">
      <w:pPr>
        <w:pStyle w:val="Listaszerbekezds"/>
        <w:numPr>
          <w:ilvl w:val="0"/>
          <w:numId w:val="3"/>
        </w:numPr>
        <w:spacing w:before="120"/>
        <w:ind w:left="1418"/>
      </w:pPr>
      <w:r>
        <w:t>A mellékelt Sz3-1 pdf dokumentum nem terv, hanem egy lehetséges típusmegoldás</w:t>
      </w:r>
      <w:r>
        <w:rPr>
          <w:color w:val="000000"/>
        </w:rPr>
        <w:t xml:space="preserve"> (elvi rajz)</w:t>
      </w:r>
      <w:r>
        <w:t>, amelynek alkalmazása ugyan nem preferált, de indokolt esetben szükség lehet ilyen típusú csatlakozás létesítésére.  Az ilyen típusú csatlakozás nem sorolható a standard esetek közzé. – Előzetes igénybejelentés benyújtása és MGT (Műszaki Gazdasági Tájékoztató) kiadása szükséges.</w:t>
      </w:r>
    </w:p>
    <w:p w:rsidR="00D85E23" w:rsidRDefault="00D85E23" w:rsidP="00D85E23">
      <w:pPr>
        <w:pStyle w:val="Listaszerbekezds"/>
        <w:spacing w:before="60"/>
        <w:ind w:left="1418"/>
        <w:rPr>
          <w:i/>
          <w:iCs/>
        </w:rPr>
      </w:pPr>
      <w:r>
        <w:rPr>
          <w:i/>
          <w:iCs/>
        </w:rPr>
        <w:t xml:space="preserve">Megjegyzés: Az elhelyezendő oszlopról, méretlen felhasználói tulajdonú vezetékhálózatról, valamint a fogyasztásmérő hely kialakításáról készült – arra jogosult tervező által készített – villamos tervet, a munkálatok megkezdése előtt legalább 15 nappal, a hálózati engedélyes területileg illetékes szervezeti egységével </w:t>
      </w:r>
      <w:r>
        <w:rPr>
          <w:i/>
          <w:iCs/>
        </w:rPr>
        <w:lastRenderedPageBreak/>
        <w:t>egyeztetni szükséges. A dokumentációból ki kell derülnie, hogy nem sérülnek a felhasználó és a hálózati engedélyes jogos érdekei. A kialakításhoz, létesítéshez, be kell szerezni a hálózati engedélyes hozzájárulását is.</w:t>
      </w:r>
    </w:p>
    <w:p w:rsidR="00D85E23" w:rsidRDefault="00D85E23" w:rsidP="00D85E23">
      <w:pPr>
        <w:pStyle w:val="Listaszerbekezds"/>
        <w:numPr>
          <w:ilvl w:val="0"/>
          <w:numId w:val="2"/>
        </w:numPr>
        <w:spacing w:before="240"/>
        <w:ind w:left="1066" w:hanging="709"/>
        <w:rPr>
          <w:b/>
          <w:bCs/>
        </w:rPr>
      </w:pPr>
      <w:r>
        <w:rPr>
          <w:b/>
          <w:bCs/>
        </w:rPr>
        <w:t>Tetőtartó rögzíthető-e téglafalhoz – műanyag – tiplivel?</w:t>
      </w:r>
    </w:p>
    <w:p w:rsidR="00D85E23" w:rsidRDefault="00D85E23" w:rsidP="00D85E23">
      <w:pPr>
        <w:pStyle w:val="Listaszerbekezds"/>
        <w:numPr>
          <w:ilvl w:val="0"/>
          <w:numId w:val="13"/>
        </w:numPr>
        <w:spacing w:before="120"/>
        <w:ind w:left="1418" w:hanging="357"/>
      </w:pPr>
      <w:r>
        <w:t>Az épületen létesülő felerősítő szerkezetek csak olyan tetőszerkezetben, épületfalon helyezhetők el, amelyek az erőhatásokat károsodás nélkül, tartósan elviselik (MSZ 447:2019 5.2.6. pont).</w:t>
      </w:r>
    </w:p>
    <w:p w:rsidR="00D85E23" w:rsidRDefault="00D85E23" w:rsidP="00D85E23">
      <w:pPr>
        <w:pStyle w:val="Listaszerbekezds"/>
        <w:numPr>
          <w:ilvl w:val="0"/>
          <w:numId w:val="13"/>
        </w:numPr>
        <w:spacing w:before="120"/>
        <w:ind w:left="1418" w:hanging="357"/>
      </w:pPr>
      <w:r>
        <w:t xml:space="preserve">Az a) pontban </w:t>
      </w:r>
      <w:proofErr w:type="spellStart"/>
      <w:r>
        <w:t>hivatkozottak</w:t>
      </w:r>
      <w:proofErr w:type="spellEnd"/>
      <w:r>
        <w:t xml:space="preserve"> szerint, nem férhet hozzá kétség, hogy a tetőtartót felerősítő bilincsek rögzítései kielégítik a velük szemben támasztott követelményeket.</w:t>
      </w:r>
    </w:p>
    <w:p w:rsidR="00D85E23" w:rsidRDefault="00D85E23" w:rsidP="00D85E23">
      <w:pPr>
        <w:pStyle w:val="Listaszerbekezds"/>
        <w:numPr>
          <w:ilvl w:val="0"/>
          <w:numId w:val="13"/>
        </w:numPr>
        <w:spacing w:before="120"/>
        <w:ind w:left="1418" w:hanging="357"/>
      </w:pPr>
      <w:r>
        <w:t>Építőipari szakmai szempontokat is figyelembe vevő statikus véleménye alapján lehet a tetőtartó rögzítésének módját felelősen meghatározni.</w:t>
      </w:r>
    </w:p>
    <w:p w:rsidR="00D85E23" w:rsidRDefault="00D85E23" w:rsidP="00D85E23">
      <w:pPr>
        <w:pStyle w:val="Listaszerbekezds"/>
        <w:spacing w:before="60"/>
        <w:ind w:left="1418"/>
      </w:pPr>
      <w:r>
        <w:rPr>
          <w:u w:val="single"/>
        </w:rPr>
        <w:t>Általánosságban azt lehet mondani, hogy a tetőtartót az épület megfelelő szerkezeti részén legalább két helyen kell rögzíteni. A rögzítések közötti távolság – a tartó hossztengelye mentén mérve – legalább 600 mm legyen. A tetőtartót a betonkoszorúhoz bilincsel, valamint a falazaton keresztülvezetett csavarokkal és hátvassal célszerű rögzíteni.</w:t>
      </w:r>
    </w:p>
    <w:p w:rsidR="00D85E23" w:rsidRDefault="00D85E23" w:rsidP="00D85E23">
      <w:pPr>
        <w:pStyle w:val="Listaszerbekezds"/>
        <w:spacing w:before="60"/>
        <w:ind w:left="1418"/>
      </w:pPr>
      <w:r>
        <w:t xml:space="preserve">Előfordult, hogy a tetőtartó rögzítése már szemrevételezés alapján is kétségesnek bizonyult. Az ilyen esetekben az volt tapasztalható, hogy a tetőtartó rögzítése egyedileg, a regisztrált villanyszerelő által – statikus </w:t>
      </w:r>
      <w:proofErr w:type="gramStart"/>
      <w:r>
        <w:t>szakember  bevonása</w:t>
      </w:r>
      <w:proofErr w:type="gramEnd"/>
      <w:r>
        <w:t xml:space="preserve"> nélkül – került meghatározásra.</w:t>
      </w:r>
    </w:p>
    <w:p w:rsidR="00D85E23" w:rsidRDefault="00D85E23" w:rsidP="00D85E23">
      <w:pPr>
        <w:pStyle w:val="Listaszerbekezds"/>
        <w:numPr>
          <w:ilvl w:val="0"/>
          <w:numId w:val="13"/>
        </w:numPr>
        <w:spacing w:before="120"/>
        <w:ind w:left="1418" w:hanging="357"/>
      </w:pPr>
      <w:r>
        <w:t xml:space="preserve">A tervezőnek, kivitelezőnek, bekapcsolást végzőnek büntetőjogi felelőssége is van. – </w:t>
      </w:r>
      <w:r>
        <w:rPr>
          <w:u w:val="single"/>
        </w:rPr>
        <w:t>Amennyiben a tetőtartó rögzítését a bekapcsolást végző szerelők a szemrevételezés során kétségesnek ítélik (pl. a tetőtartó rögzítése téglafalban műanyag tiplivel történt), akkor az észlelt rendellenességet, a felhasználási hely felülvizsgálati lapon dokumentálniuk kell és a bekapcsolást meg kell tagadniuk.</w:t>
      </w:r>
      <w:r>
        <w:t xml:space="preserve"> Amennyiben a regisztrált villanyszerelő biztos abban, hogy az általa kivitelezett műszaki megoldás megfelelő, akkor a kivitelezés megfelelőségének igazolására – az esetleges véleményeltérés feloldása céljából – kérjük bemutatni, hogy az arra jogosult statikus által tervezett, hálózati engedélyessel is egyeztetett és a kivitelezett műszaki megoldás egyezik.</w:t>
      </w:r>
    </w:p>
    <w:p w:rsidR="00D85E23" w:rsidRDefault="00D85E23" w:rsidP="00D85E23">
      <w:pPr>
        <w:pStyle w:val="Listaszerbekezds"/>
        <w:numPr>
          <w:ilvl w:val="0"/>
          <w:numId w:val="2"/>
        </w:numPr>
        <w:spacing w:before="240"/>
        <w:ind w:left="1066" w:hanging="709"/>
        <w:rPr>
          <w:b/>
          <w:bCs/>
        </w:rPr>
      </w:pPr>
      <w:r>
        <w:rPr>
          <w:b/>
          <w:bCs/>
        </w:rPr>
        <w:t>Át kell-e vezetni a fogyasztásmérő N kapcsain a PEN vezetőt, vagy az üzemi nullavezetőt?</w:t>
      </w:r>
    </w:p>
    <w:p w:rsidR="00D85E23" w:rsidRDefault="00D85E23" w:rsidP="00D85E23">
      <w:pPr>
        <w:pStyle w:val="Listaszerbekezds"/>
        <w:numPr>
          <w:ilvl w:val="0"/>
          <w:numId w:val="14"/>
        </w:numPr>
        <w:spacing w:before="120"/>
        <w:ind w:left="1417" w:hanging="357"/>
      </w:pPr>
      <w:r>
        <w:t>A PEN vezetőt TILOS átvezetni a fogyasztásmérőn!  – Az üzemi nullavezető átvezetése volt korábban megengedve és javasolva.</w:t>
      </w:r>
    </w:p>
    <w:p w:rsidR="00D85E23" w:rsidRDefault="00D85E23" w:rsidP="00D85E23">
      <w:pPr>
        <w:pStyle w:val="Listaszerbekezds"/>
        <w:numPr>
          <w:ilvl w:val="0"/>
          <w:numId w:val="14"/>
        </w:numPr>
        <w:spacing w:before="120"/>
        <w:ind w:left="1417" w:hanging="357"/>
        <w:rPr>
          <w:color w:val="000000"/>
          <w:u w:val="single"/>
        </w:rPr>
      </w:pPr>
      <w:r>
        <w:t xml:space="preserve">A jövőben a fogyasztásmérőbe, a működtetéséhez szükséges üzemi nullavezetőt kell bekötni. – Az erre a célra alkalmazott vezető: MKH, érvéghüvelyezett, </w:t>
      </w:r>
      <w:r>
        <w:rPr>
          <w:color w:val="000000"/>
        </w:rPr>
        <w:t>10</w:t>
      </w:r>
      <w:r>
        <w:t xml:space="preserve"> mm</w:t>
      </w:r>
      <w:r>
        <w:rPr>
          <w:vertAlign w:val="superscript"/>
        </w:rPr>
        <w:t>2</w:t>
      </w:r>
      <w:r>
        <w:t xml:space="preserve"> keresztmetszetű </w:t>
      </w:r>
      <w:proofErr w:type="gramStart"/>
      <w:r>
        <w:t>legyen.</w:t>
      </w:r>
      <w:r>
        <w:rPr>
          <w:color w:val="000000"/>
        </w:rPr>
        <w:t>–</w:t>
      </w:r>
      <w:proofErr w:type="gramEnd"/>
      <w:r>
        <w:rPr>
          <w:color w:val="000000"/>
        </w:rPr>
        <w:t xml:space="preserve"> </w:t>
      </w:r>
      <w:r>
        <w:rPr>
          <w:u w:val="single"/>
        </w:rPr>
        <w:t xml:space="preserve">A fogyasztásmérők bekötését a mellékelt pdf dokumentum tartalmazza. </w:t>
      </w:r>
    </w:p>
    <w:p w:rsidR="00D85E23" w:rsidRDefault="00D85E23" w:rsidP="00D85E23">
      <w:pPr>
        <w:spacing w:before="120"/>
        <w:ind w:left="1418"/>
        <w:rPr>
          <w:i/>
          <w:iCs/>
        </w:rPr>
      </w:pPr>
      <w:r>
        <w:rPr>
          <w:i/>
          <w:iCs/>
        </w:rPr>
        <w:t>Megjegyzés: a korábbi gyakorlat szerint kialakított direkt mérések esetében, az üzemi nullavezetőt át kellett vezetni a fogyasztásmérő N kapcsán. E gyakorlatnak megfelelően biztosították/biztosítják a gyártók az MKH 10 mm</w:t>
      </w:r>
      <w:r>
        <w:rPr>
          <w:i/>
          <w:iCs/>
          <w:vertAlign w:val="superscript"/>
        </w:rPr>
        <w:t>2</w:t>
      </w:r>
      <w:r>
        <w:rPr>
          <w:i/>
          <w:iCs/>
        </w:rPr>
        <w:t xml:space="preserve"> keresztmetszetű üzemi nullavezetőt a rendszerengedélyes mérőszekrényekhez.</w:t>
      </w:r>
    </w:p>
    <w:p w:rsidR="00D85E23" w:rsidRDefault="00D85E23" w:rsidP="00D85E23">
      <w:pPr>
        <w:spacing w:before="60"/>
        <w:ind w:left="1418"/>
        <w:rPr>
          <w:i/>
          <w:iCs/>
        </w:rPr>
      </w:pPr>
      <w:r>
        <w:rPr>
          <w:i/>
          <w:iCs/>
        </w:rPr>
        <w:t>A szakma szereplőit a keresztmetszetekkel nem lenne szerencsés összezavarni. Ezért a fogyasztásmérőbe bekötendő üzemi nullavezető – mint működtető nullavezető – a jövőben is MKH 10 mm</w:t>
      </w:r>
      <w:r>
        <w:rPr>
          <w:i/>
          <w:iCs/>
          <w:vertAlign w:val="superscript"/>
        </w:rPr>
        <w:t>2</w:t>
      </w:r>
      <w:r>
        <w:rPr>
          <w:i/>
          <w:iCs/>
        </w:rPr>
        <w:t xml:space="preserve"> keresztmetszetű legyen. Kivétel csak a vezérelt (külön mért éjszaki) árszabás esetében van, ahol – a korábbi gyakorlat szerint – 6 mm</w:t>
      </w:r>
      <w:r>
        <w:rPr>
          <w:i/>
          <w:iCs/>
          <w:vertAlign w:val="superscript"/>
        </w:rPr>
        <w:t>2</w:t>
      </w:r>
      <w:r>
        <w:rPr>
          <w:i/>
          <w:iCs/>
        </w:rPr>
        <w:t xml:space="preserve"> </w:t>
      </w:r>
      <w:r>
        <w:rPr>
          <w:i/>
          <w:iCs/>
        </w:rPr>
        <w:lastRenderedPageBreak/>
        <w:t>keresztmetszet alkalmazása megengedett feltéve, hogy az adott árszabásról csak egyetlen fogyasztói készülék (1 db villanykályha, vagy 1 db forróvíz-tároló) van ellátva villamosenergiával.</w:t>
      </w:r>
    </w:p>
    <w:p w:rsidR="00D85E23" w:rsidRDefault="00D85E23" w:rsidP="00D85E23">
      <w:pPr>
        <w:spacing w:before="60"/>
        <w:ind w:left="1418"/>
        <w:rPr>
          <w:i/>
          <w:iCs/>
        </w:rPr>
      </w:pPr>
      <w:r>
        <w:object w:dxaOrig="1538" w:dyaOrig="991">
          <v:shape id="_x0000_i1027" type="#_x0000_t75" style="width:76.5pt;height:49.5pt" o:ole="">
            <v:imagedata r:id="rId10" o:title=""/>
          </v:shape>
          <o:OLEObject Type="Embed" ProgID="AcroExch.Document.DC" ShapeID="_x0000_i1027" DrawAspect="Icon" ObjectID="_1660724430" r:id="rId11"/>
        </w:object>
      </w:r>
      <w:r>
        <w:object w:dxaOrig="1538" w:dyaOrig="991">
          <v:shape id="_x0000_i1028" type="#_x0000_t75" style="width:76.5pt;height:49.5pt" o:ole="">
            <v:imagedata r:id="rId12" o:title=""/>
          </v:shape>
          <o:OLEObject Type="Embed" ProgID="AcroExch.Document.DC" ShapeID="_x0000_i1028" DrawAspect="Icon" ObjectID="_1660724431" r:id="rId13"/>
        </w:object>
      </w:r>
      <w:r>
        <w:rPr>
          <w:i/>
          <w:iCs/>
        </w:rPr>
        <w:t xml:space="preserve"> </w:t>
      </w:r>
    </w:p>
    <w:p w:rsidR="00D85E23" w:rsidRDefault="00D85E23" w:rsidP="00D85E23">
      <w:pPr>
        <w:spacing w:after="0" w:line="240" w:lineRule="auto"/>
        <w:rPr>
          <w:b/>
        </w:rPr>
      </w:pPr>
    </w:p>
    <w:p w:rsidR="00A17D1D" w:rsidRDefault="00A17D1D" w:rsidP="00D85E23">
      <w:pPr>
        <w:spacing w:after="0" w:line="240" w:lineRule="auto"/>
        <w:rPr>
          <w:b/>
          <w:lang w:eastAsia="hu-HU"/>
        </w:rPr>
      </w:pPr>
    </w:p>
    <w:p w:rsidR="00A17D1D" w:rsidRDefault="00A17D1D" w:rsidP="00D85E23">
      <w:pPr>
        <w:spacing w:after="0" w:line="240" w:lineRule="auto"/>
        <w:rPr>
          <w:b/>
          <w:lang w:eastAsia="hu-HU"/>
        </w:rPr>
      </w:pPr>
    </w:p>
    <w:p w:rsidR="00A17D1D" w:rsidRDefault="00A17D1D" w:rsidP="00D85E23">
      <w:pPr>
        <w:spacing w:after="0" w:line="240" w:lineRule="auto"/>
        <w:rPr>
          <w:b/>
          <w:lang w:eastAsia="hu-HU"/>
        </w:rPr>
      </w:pPr>
    </w:p>
    <w:p w:rsidR="00A17D1D" w:rsidRDefault="00A17D1D" w:rsidP="00D85E23">
      <w:pPr>
        <w:spacing w:after="0" w:line="240" w:lineRule="auto"/>
        <w:rPr>
          <w:b/>
          <w:lang w:eastAsia="hu-HU"/>
        </w:rPr>
      </w:pPr>
    </w:p>
    <w:p w:rsidR="0039032B" w:rsidRPr="00A17D1D" w:rsidRDefault="00D85E23" w:rsidP="00D85E23">
      <w:pPr>
        <w:spacing w:after="0" w:line="240" w:lineRule="auto"/>
        <w:rPr>
          <w:b/>
        </w:rPr>
      </w:pPr>
      <w:r w:rsidRPr="00A17D1D">
        <w:rPr>
          <w:b/>
          <w:lang w:eastAsia="hu-HU"/>
        </w:rPr>
        <w:t>Hírlevél, - aktuális információk</w:t>
      </w:r>
    </w:p>
    <w:p w:rsidR="00D85E23" w:rsidRDefault="00D85E23" w:rsidP="00D85E23">
      <w:pPr>
        <w:spacing w:after="0" w:line="240" w:lineRule="auto"/>
      </w:pPr>
      <w:r w:rsidRPr="00D85E23">
        <w:t>2019.05.20.</w:t>
      </w:r>
      <w:r>
        <w:rPr>
          <w:lang w:eastAsia="hu-HU"/>
        </w:rPr>
        <w:br/>
      </w:r>
    </w:p>
    <w:p w:rsidR="00D85E23" w:rsidRDefault="00D85E23" w:rsidP="00D85E23">
      <w:pPr>
        <w:spacing w:after="0" w:line="240" w:lineRule="auto"/>
      </w:pPr>
      <w:r>
        <w:t>Tisztelt Parterünk!</w:t>
      </w:r>
    </w:p>
    <w:p w:rsidR="00D85E23" w:rsidRDefault="00D85E23" w:rsidP="00D85E23"/>
    <w:p w:rsidR="00D85E23" w:rsidRDefault="00D85E23" w:rsidP="00D85E23">
      <w:r>
        <w:t>Az elmúlt hónapokban felmerült leggyakoribb kérdésekre adható válaszokat, valamint az egységes eljárás szempontjait tekintve, ezeket a szakmai információkat szeretnénk megosztani Önnel!</w:t>
      </w:r>
    </w:p>
    <w:p w:rsidR="00D85E23" w:rsidRDefault="00D85E23" w:rsidP="00D85E23">
      <w:pPr>
        <w:pStyle w:val="Listaszerbekezds"/>
        <w:numPr>
          <w:ilvl w:val="0"/>
          <w:numId w:val="2"/>
        </w:numPr>
        <w:spacing w:before="240"/>
        <w:ind w:left="709" w:hanging="352"/>
        <w:rPr>
          <w:b/>
          <w:bCs/>
          <w:u w:val="single"/>
        </w:rPr>
      </w:pPr>
      <w:r>
        <w:rPr>
          <w:b/>
          <w:bCs/>
          <w:u w:val="single"/>
        </w:rPr>
        <w:t>A műszaki beavatkozás mértéke és szükségessége</w:t>
      </w:r>
    </w:p>
    <w:p w:rsidR="00D85E23" w:rsidRDefault="00D85E23" w:rsidP="00D85E23">
      <w:pPr>
        <w:pStyle w:val="Listaszerbekezds"/>
        <w:numPr>
          <w:ilvl w:val="0"/>
          <w:numId w:val="3"/>
        </w:numPr>
        <w:spacing w:before="60"/>
        <w:ind w:left="1418"/>
      </w:pPr>
      <w:r>
        <w:t>A szükséges és elégséges műszaki feltételeket, a vonatkozó jogszabályok és a vonatkozó szabványok figyelembevételével kell meghatározni. Az ilyen módon meghatározott műszaki biztonsági szintet sem a tervező, sem a kivitelező nem csökkentheti.</w:t>
      </w:r>
    </w:p>
    <w:p w:rsidR="00D85E23" w:rsidRDefault="00D85E23" w:rsidP="00D85E23">
      <w:pPr>
        <w:pStyle w:val="Listaszerbekezds"/>
        <w:numPr>
          <w:ilvl w:val="0"/>
          <w:numId w:val="3"/>
        </w:numPr>
        <w:spacing w:before="60"/>
        <w:ind w:left="1418"/>
      </w:pPr>
      <w:r>
        <w:t xml:space="preserve">Az 54/2014 (XII.5.) BM rendelet OTSZ 4. § 199. </w:t>
      </w:r>
      <w:proofErr w:type="spellStart"/>
      <w:r>
        <w:t>bek</w:t>
      </w:r>
      <w:proofErr w:type="spellEnd"/>
      <w:r>
        <w:t>. szerint</w:t>
      </w:r>
    </w:p>
    <w:p w:rsidR="00D85E23" w:rsidRDefault="00D85E23" w:rsidP="00D85E23">
      <w:pPr>
        <w:pStyle w:val="Listaszerbekezds"/>
        <w:spacing w:before="20"/>
        <w:ind w:left="1786"/>
        <w:rPr>
          <w:u w:val="single"/>
        </w:rPr>
      </w:pPr>
      <w:r>
        <w:rPr>
          <w:u w:val="single"/>
        </w:rPr>
        <w:t>„vonatkozó műszaki követelmény: nemzeti és Európai Uniós szabványok összessége,”</w:t>
      </w:r>
    </w:p>
    <w:p w:rsidR="00D85E23" w:rsidRDefault="00D85E23" w:rsidP="00D85E23">
      <w:pPr>
        <w:pStyle w:val="Listaszerbekezds"/>
        <w:numPr>
          <w:ilvl w:val="0"/>
          <w:numId w:val="3"/>
        </w:numPr>
        <w:autoSpaceDE w:val="0"/>
        <w:autoSpaceDN w:val="0"/>
        <w:spacing w:before="60"/>
        <w:ind w:left="1417" w:hanging="357"/>
      </w:pPr>
      <w:r>
        <w:t>A 40/2017 (XII.4.) NGM rendelet 3. pontja:</w:t>
      </w:r>
    </w:p>
    <w:p w:rsidR="00D85E23" w:rsidRDefault="00D85E23" w:rsidP="00D85E23">
      <w:pPr>
        <w:pStyle w:val="Listaszerbekezds"/>
        <w:spacing w:before="20"/>
        <w:ind w:left="1418"/>
        <w:rPr>
          <w:i/>
          <w:iCs/>
        </w:rPr>
      </w:pPr>
      <w:r>
        <w:rPr>
          <w:i/>
          <w:iCs/>
        </w:rPr>
        <w:t xml:space="preserve">„A Villamos Műszaki Biztonsági Szabályzatban foglalt egyes műszaki előírásoktól </w:t>
      </w:r>
      <w:r>
        <w:rPr>
          <w:b/>
          <w:bCs/>
          <w:i/>
          <w:iCs/>
          <w:u w:val="single"/>
        </w:rPr>
        <w:t>a tervező</w:t>
      </w:r>
      <w:r>
        <w:rPr>
          <w:i/>
          <w:iCs/>
        </w:rPr>
        <w:t xml:space="preserve"> eltérhet, ha a Villamos Műszaki Biztonsági Szabályzatban foglaltak alapján igazolja, hogy a Villamos Műszaki Biztonsági Szabályzat előírásai szerint elérhető, vagy magasabb műszaki biztonsági szintet más módon is biztosítja.”</w:t>
      </w:r>
    </w:p>
    <w:p w:rsidR="00D85E23" w:rsidRDefault="00D85E23" w:rsidP="00D85E23">
      <w:pPr>
        <w:pStyle w:val="Listaszerbekezds"/>
        <w:numPr>
          <w:ilvl w:val="0"/>
          <w:numId w:val="3"/>
        </w:numPr>
        <w:spacing w:before="60"/>
        <w:ind w:left="1418"/>
      </w:pPr>
      <w:r>
        <w:t>A regisztrált villanyszerelők által végezhető tevékenységeket, illetőleg a javítás, bővítés, felújítás, új villamos berendezés határait, valamint a kapcsolódó szakmai szabályokat, a regisztrált villanyszerelők számára 2018-ban kiadott kézikönyv 1.2 pontja tartalmazza.</w:t>
      </w:r>
    </w:p>
    <w:p w:rsidR="00D85E23" w:rsidRDefault="00D85E23" w:rsidP="00D85E23">
      <w:pPr>
        <w:pStyle w:val="Listaszerbekezds"/>
        <w:spacing w:before="60"/>
        <w:ind w:left="1701"/>
        <w:rPr>
          <w:i/>
          <w:iCs/>
        </w:rPr>
      </w:pPr>
      <w:r>
        <w:rPr>
          <w:i/>
          <w:iCs/>
        </w:rPr>
        <w:t>…. „számos olyan helyzet lehetséges, amikor a műszaki tartalmat – legyen az új létesítés, vagy bővítés – nem a regisztrált villanyszerelőnek kell „kitalálnia”. Ilyenkor válhat szükségessé annak kinyilvánítása, hogy a bővítés, felújítás, létesítés meghatározása érdekében</w:t>
      </w:r>
      <w:r>
        <w:rPr>
          <w:b/>
          <w:bCs/>
        </w:rPr>
        <w:t xml:space="preserve">, </w:t>
      </w:r>
      <w:r>
        <w:rPr>
          <w:b/>
          <w:bCs/>
          <w:i/>
          <w:iCs/>
          <w:u w:val="single"/>
        </w:rPr>
        <w:t>arra jogosult villamos tervező bevonása szükséges</w:t>
      </w:r>
      <w:r>
        <w:rPr>
          <w:b/>
          <w:bCs/>
        </w:rPr>
        <w:t>.</w:t>
      </w:r>
    </w:p>
    <w:p w:rsidR="00D85E23" w:rsidRDefault="00D85E23" w:rsidP="00D85E23">
      <w:pPr>
        <w:pStyle w:val="Listaszerbekezds"/>
        <w:ind w:left="1701"/>
        <w:rPr>
          <w:i/>
          <w:iCs/>
        </w:rPr>
      </w:pPr>
      <w:r>
        <w:rPr>
          <w:i/>
          <w:iCs/>
        </w:rPr>
        <w:t xml:space="preserve">A kivitelezés, az engedélyekkel, jóváhagyásokkal ellátott tervdokumentáció alapján </w:t>
      </w:r>
      <w:proofErr w:type="gramStart"/>
      <w:r>
        <w:rPr>
          <w:i/>
          <w:iCs/>
        </w:rPr>
        <w:t>történhet..</w:t>
      </w:r>
      <w:proofErr w:type="gramEnd"/>
      <w:r>
        <w:rPr>
          <w:i/>
          <w:iCs/>
        </w:rPr>
        <w:t>”’ …</w:t>
      </w:r>
    </w:p>
    <w:p w:rsidR="00D85E23" w:rsidRDefault="00D85E23" w:rsidP="00D85E23">
      <w:pPr>
        <w:pStyle w:val="Listaszerbekezds"/>
        <w:numPr>
          <w:ilvl w:val="0"/>
          <w:numId w:val="4"/>
        </w:numPr>
        <w:spacing w:before="240"/>
        <w:ind w:left="709"/>
        <w:rPr>
          <w:b/>
          <w:bCs/>
          <w:u w:val="single"/>
          <w:lang w:eastAsia="hu-HU"/>
        </w:rPr>
      </w:pPr>
      <w:r>
        <w:rPr>
          <w:b/>
          <w:bCs/>
          <w:u w:val="single"/>
          <w:lang w:eastAsia="hu-HU"/>
        </w:rPr>
        <w:t>Javítás, bővítés, többletigény esetén, javasolt figyelmet fordítani a következőkre is</w:t>
      </w:r>
    </w:p>
    <w:p w:rsidR="00D85E23" w:rsidRDefault="00D85E23" w:rsidP="00D85E23">
      <w:pPr>
        <w:pStyle w:val="Listaszerbekezds"/>
        <w:numPr>
          <w:ilvl w:val="0"/>
          <w:numId w:val="5"/>
        </w:numPr>
        <w:spacing w:before="60"/>
        <w:ind w:left="1429" w:hanging="357"/>
      </w:pPr>
      <w:r>
        <w:t>A meglévő felhasználói vezetékhálózat megfelel-e a létesítés idején – ha volt felújítás, a felújítás idején – érvényes jogszabályi és műszaki biztonsági követelményeknek?</w:t>
      </w:r>
    </w:p>
    <w:p w:rsidR="00D85E23" w:rsidRDefault="00D85E23" w:rsidP="00D85E23">
      <w:pPr>
        <w:pStyle w:val="Listaszerbekezds"/>
        <w:numPr>
          <w:ilvl w:val="0"/>
          <w:numId w:val="5"/>
        </w:numPr>
        <w:spacing w:before="60"/>
        <w:ind w:left="1429" w:hanging="357"/>
      </w:pPr>
      <w:r>
        <w:lastRenderedPageBreak/>
        <w:t>A felhasználói vezetékhálózat biztonságos? Rendelkezésre állnak a jogszabály által előírt – a felhasználói vezetékhálózat biztonságosságát igazoló – dokumentumok, minősítő iratok?</w:t>
      </w:r>
    </w:p>
    <w:p w:rsidR="00D85E23" w:rsidRDefault="00D85E23" w:rsidP="00D85E23">
      <w:pPr>
        <w:pStyle w:val="Listaszerbekezds"/>
        <w:numPr>
          <w:ilvl w:val="0"/>
          <w:numId w:val="5"/>
        </w:numPr>
        <w:spacing w:before="60"/>
        <w:ind w:left="1429" w:hanging="357"/>
      </w:pPr>
      <w:r>
        <w:t>Amennyiben az említett dokumentumok nem állnak rendelkezésre, akkor nem volt ilyen vizsgálat. Ez esetben el kell végezni a felülvizsgálatokat, fel kell tárni a hibákat és ki kell azokat javítani.</w:t>
      </w:r>
    </w:p>
    <w:p w:rsidR="00D85E23" w:rsidRDefault="00D85E23" w:rsidP="00D85E23">
      <w:pPr>
        <w:pStyle w:val="Listaszerbekezds"/>
        <w:numPr>
          <w:ilvl w:val="0"/>
          <w:numId w:val="5"/>
        </w:numPr>
        <w:spacing w:before="60"/>
        <w:ind w:left="1429" w:hanging="357"/>
      </w:pPr>
      <w:r>
        <w:t>Amennyiben a felhasználói vezetékhálózat, mérőhely nem felel meg az a) pontban meghatározott követelményeknek, akkor azt kell megvizsgálni, hogy az javítás, karbantartás keretében alkalmassá tehető-e?</w:t>
      </w:r>
    </w:p>
    <w:p w:rsidR="00D85E23" w:rsidRDefault="00D85E23" w:rsidP="00D85E23">
      <w:pPr>
        <w:pStyle w:val="Listaszerbekezds"/>
        <w:numPr>
          <w:ilvl w:val="0"/>
          <w:numId w:val="5"/>
        </w:numPr>
        <w:spacing w:before="60"/>
        <w:ind w:left="1429" w:hanging="357"/>
      </w:pPr>
      <w:r>
        <w:t>Amennyiben a felhasználói vezetékhálózat, mérőhely a d) pont szerinti beavatkozással nem tehető alkalmassá, akkor a szükséges műszaki tartalom változás mértékét kell irányadónak tekinteni.</w:t>
      </w:r>
    </w:p>
    <w:p w:rsidR="00D85E23" w:rsidRDefault="00D85E23" w:rsidP="00D85E23">
      <w:pPr>
        <w:pStyle w:val="Listaszerbekezds"/>
        <w:spacing w:before="40"/>
        <w:ind w:left="1435"/>
      </w:pPr>
      <w:r>
        <w:t xml:space="preserve">Az MSZ 447:2019 5.2.8 pontjában meghatározottak szerint, a méretlen fővezeték teljes, vagy az épület felhasználási helyeinek részleges, legalább 50%-át meghaladó felújítása, illetve az épület jelentős, a csatlakozás környezetét (tetőtartót, falitartót, védőcsövezést, </w:t>
      </w:r>
      <w:proofErr w:type="spellStart"/>
      <w:r>
        <w:t>fogyasztásmérőhelyet</w:t>
      </w:r>
      <w:proofErr w:type="spellEnd"/>
      <w:r>
        <w:t>, csatlakozóberendezést) is érintő építészeti felújítása esetén az épület részét képező kialakításokat úgy kell megvalósítani (nyomvonal, védőcsövezés), hogy az megfeleljen az MSZ 447:2019 szabvány követelményeinek.</w:t>
      </w:r>
    </w:p>
    <w:p w:rsidR="00D85E23" w:rsidRDefault="00D85E23" w:rsidP="00D85E23">
      <w:pPr>
        <w:pStyle w:val="Listaszerbekezds"/>
        <w:numPr>
          <w:ilvl w:val="0"/>
          <w:numId w:val="6"/>
        </w:numPr>
        <w:spacing w:before="240"/>
        <w:ind w:left="709" w:hanging="349"/>
        <w:rPr>
          <w:b/>
          <w:bCs/>
          <w:u w:val="single"/>
        </w:rPr>
      </w:pPr>
      <w:r>
        <w:rPr>
          <w:b/>
          <w:bCs/>
          <w:u w:val="single"/>
        </w:rPr>
        <w:t>Ingatlancsatlakozások darabszáma</w:t>
      </w:r>
    </w:p>
    <w:p w:rsidR="00D85E23" w:rsidRDefault="00D85E23" w:rsidP="00D85E23">
      <w:pPr>
        <w:spacing w:before="60"/>
        <w:ind w:left="851"/>
      </w:pPr>
      <w:r>
        <w:t>Általános esetben egy ingatlannak csak egy csatlakozása lehet. Ettől eltérni, az alábbi esetekben szabad</w:t>
      </w:r>
    </w:p>
    <w:p w:rsidR="00D85E23" w:rsidRDefault="00D85E23" w:rsidP="00D85E23">
      <w:pPr>
        <w:pStyle w:val="Listaszerbekezds"/>
        <w:numPr>
          <w:ilvl w:val="0"/>
          <w:numId w:val="7"/>
        </w:numPr>
        <w:spacing w:before="40"/>
        <w:ind w:left="1418"/>
      </w:pPr>
      <w:r>
        <w:t>abban az esetben szabad egy ingatlanhoz két – vagy több – csatlakozási pontot kiépíteni kisfeszültségen, ha azt az ingatlanon lévő felhasználási hely(</w:t>
      </w:r>
      <w:proofErr w:type="spellStart"/>
      <w:r>
        <w:t>ek</w:t>
      </w:r>
      <w:proofErr w:type="spellEnd"/>
      <w:r>
        <w:t xml:space="preserve">) növelt üzembiztonságú ellátásra vonatkozó igénye indokolja, vagy </w:t>
      </w:r>
    </w:p>
    <w:p w:rsidR="00D85E23" w:rsidRDefault="00D85E23" w:rsidP="00D85E23">
      <w:pPr>
        <w:pStyle w:val="Listaszerbekezds"/>
        <w:numPr>
          <w:ilvl w:val="0"/>
          <w:numId w:val="7"/>
        </w:numPr>
        <w:spacing w:before="40"/>
        <w:ind w:left="1418"/>
      </w:pPr>
      <w:r>
        <w:t>az adott ingatlanon lévő felhasználási helyek külön tűzszakaszba esnek és műszaki, gazdasági, vagy egyéb szempontok is indokolják.</w:t>
      </w:r>
    </w:p>
    <w:p w:rsidR="00D85E23" w:rsidRDefault="00D85E23" w:rsidP="00D85E23">
      <w:pPr>
        <w:pStyle w:val="Listaszerbekezds"/>
        <w:spacing w:before="120"/>
        <w:ind w:left="993"/>
        <w:rPr>
          <w:i/>
          <w:iCs/>
        </w:rPr>
      </w:pPr>
      <w:r>
        <w:rPr>
          <w:i/>
          <w:iCs/>
        </w:rPr>
        <w:t>MEGJEGYZÉS_1: A kialakítás módját az elosztóhálózati engedélyessel előzetesen egyeztetni kell. Az ilyen típusú igények kezeléséhez a területileg illetékes üzem állásfoglalását kell kérni.</w:t>
      </w:r>
    </w:p>
    <w:p w:rsidR="00D85E23" w:rsidRDefault="00D85E23" w:rsidP="00D85E23">
      <w:pPr>
        <w:pStyle w:val="Listaszerbekezds"/>
        <w:spacing w:before="60"/>
        <w:ind w:left="992"/>
        <w:rPr>
          <w:i/>
          <w:iCs/>
        </w:rPr>
      </w:pPr>
      <w:r>
        <w:rPr>
          <w:i/>
          <w:iCs/>
        </w:rPr>
        <w:t>MEGJEGYZÉS_2: Az 54/2014 (XII.5) BM rendelet OTSZ 135 §</w:t>
      </w:r>
    </w:p>
    <w:p w:rsidR="00D85E23" w:rsidRDefault="00D85E23" w:rsidP="00D85E23">
      <w:pPr>
        <w:pStyle w:val="Listaszerbekezds"/>
        <w:spacing w:before="20"/>
        <w:ind w:left="1843" w:hanging="403"/>
        <w:rPr>
          <w:i/>
          <w:iCs/>
        </w:rPr>
      </w:pPr>
      <w:r>
        <w:rPr>
          <w:i/>
          <w:iCs/>
        </w:rPr>
        <w:t>„(1) Az építmény minden, központi normál és biztonsági tápforrásról táplált villamos berendezését, valamint a központi szünetmentes energiaforrásokat úgy kell kialakítani, hogy</w:t>
      </w:r>
      <w:r>
        <w:rPr>
          <w:i/>
          <w:iCs/>
        </w:rPr>
        <w:br/>
        <w:t xml:space="preserve">az építmény egésze egy helyről lekapcsolható legyen. </w:t>
      </w:r>
      <w:r>
        <w:rPr>
          <w:b/>
          <w:bCs/>
          <w:i/>
          <w:iCs/>
          <w:u w:val="single"/>
        </w:rPr>
        <w:t>Az építményrészek külön lekapcsolásának szükségességét és kialakítását a tűzvédelmi szakhatósággal kell egyeztetni.</w:t>
      </w:r>
    </w:p>
    <w:p w:rsidR="00D85E23" w:rsidRDefault="00D85E23" w:rsidP="00D85E23">
      <w:pPr>
        <w:pStyle w:val="Listaszerbekezds"/>
        <w:spacing w:before="20"/>
        <w:ind w:left="1843" w:hanging="283"/>
        <w:rPr>
          <w:i/>
          <w:iCs/>
        </w:rPr>
      </w:pPr>
      <w:r>
        <w:rPr>
          <w:i/>
          <w:iCs/>
        </w:rPr>
        <w:t>(2) A tűzeseti lekapcsolást úgy kell kialakítani, hogy a tűzeseti beavatkozás során a tűzeseti fogyasztók csoportjai külön legyenek lekapcsolhatók, működtetésük az egyéb áramkörök</w:t>
      </w:r>
      <w:r>
        <w:rPr>
          <w:i/>
          <w:iCs/>
        </w:rPr>
        <w:br/>
        <w:t>lekapcsolása esetén is biztosítható legyen.</w:t>
      </w:r>
    </w:p>
    <w:p w:rsidR="00D85E23" w:rsidRDefault="00D85E23" w:rsidP="00D85E23">
      <w:pPr>
        <w:pStyle w:val="Listaszerbekezds"/>
        <w:spacing w:before="20"/>
        <w:ind w:left="1701" w:hanging="141"/>
        <w:rPr>
          <w:i/>
          <w:iCs/>
        </w:rPr>
      </w:pPr>
      <w:r>
        <w:rPr>
          <w:i/>
          <w:iCs/>
        </w:rPr>
        <w:t>(3</w:t>
      </w:r>
      <w:r>
        <w:rPr>
          <w:i/>
          <w:iCs/>
          <w:u w:val="single"/>
        </w:rPr>
        <w:t>) Több tűzszakaszon áthaladó vezetékrendszert úgy kell kialakítani, hogy a tűzeseti lekapcsolással érintett tűzszakaszban beavatkozó tűzoltót áramütés ne veszélyeztesse.</w:t>
      </w:r>
    </w:p>
    <w:p w:rsidR="00D85E23" w:rsidRDefault="00D85E23" w:rsidP="00D85E23">
      <w:pPr>
        <w:pStyle w:val="Listaszerbekezds"/>
        <w:spacing w:before="20"/>
        <w:ind w:left="1701" w:hanging="142"/>
        <w:rPr>
          <w:i/>
          <w:iCs/>
        </w:rPr>
      </w:pPr>
      <w:r>
        <w:rPr>
          <w:i/>
          <w:iCs/>
        </w:rPr>
        <w:t>(4) A csoportosan elhelyezett villamos kapcsolók, főkapcsolók és túláramvédelmi készülékek rendeltetését, továbbá e kapcsolók ki- és bekapcsolt helyzetét jelölni kell.</w:t>
      </w:r>
    </w:p>
    <w:p w:rsidR="00D85E23" w:rsidRDefault="00D85E23" w:rsidP="00D85E23">
      <w:pPr>
        <w:pStyle w:val="Listaszerbekezds"/>
        <w:numPr>
          <w:ilvl w:val="0"/>
          <w:numId w:val="6"/>
        </w:numPr>
        <w:spacing w:before="240"/>
        <w:ind w:left="709" w:hanging="349"/>
        <w:rPr>
          <w:b/>
          <w:bCs/>
          <w:u w:val="single"/>
        </w:rPr>
      </w:pPr>
      <w:bookmarkStart w:id="1" w:name="_Toc530736395"/>
      <w:r>
        <w:rPr>
          <w:b/>
          <w:bCs/>
          <w:u w:val="single"/>
        </w:rPr>
        <w:lastRenderedPageBreak/>
        <w:t>Túlfeszültség-védelem</w:t>
      </w:r>
    </w:p>
    <w:p w:rsidR="00D85E23" w:rsidRDefault="00D85E23" w:rsidP="00D85E23">
      <w:pPr>
        <w:pStyle w:val="Listaszerbekezds"/>
        <w:spacing w:before="60"/>
        <w:ind w:left="851"/>
      </w:pPr>
      <w:r>
        <w:t>Tranziens túlfeszültség elleni védelmet kell alkalmazni, ahol a túlfeszültségek által okozott következmények hatással vannak:</w:t>
      </w:r>
    </w:p>
    <w:p w:rsidR="00D85E23" w:rsidRDefault="00D85E23" w:rsidP="00D85E23">
      <w:pPr>
        <w:pStyle w:val="Listaszerbekezds"/>
        <w:numPr>
          <w:ilvl w:val="0"/>
          <w:numId w:val="8"/>
        </w:numPr>
        <w:spacing w:before="60"/>
        <w:ind w:left="1418"/>
      </w:pPr>
      <w:r>
        <w:t>az emberi életre, pl. biztonsági berendezések, orvosi készülékek;</w:t>
      </w:r>
    </w:p>
    <w:p w:rsidR="00D85E23" w:rsidRDefault="00D85E23" w:rsidP="00D85E23">
      <w:pPr>
        <w:pStyle w:val="Listaszerbekezds"/>
        <w:numPr>
          <w:ilvl w:val="0"/>
          <w:numId w:val="8"/>
        </w:numPr>
        <w:spacing w:before="60"/>
        <w:ind w:left="1418"/>
      </w:pPr>
      <w:r>
        <w:t>közszolgáltatásokra és kulturális örökségre, pl. a közszolgáltatások kimaradása, informatikai központok,</w:t>
      </w:r>
    </w:p>
    <w:p w:rsidR="00D85E23" w:rsidRDefault="00D85E23" w:rsidP="00D85E23">
      <w:pPr>
        <w:pStyle w:val="Listaszerbekezds"/>
        <w:numPr>
          <w:ilvl w:val="0"/>
          <w:numId w:val="8"/>
        </w:numPr>
        <w:spacing w:before="60"/>
        <w:ind w:left="1418"/>
      </w:pPr>
      <w:r>
        <w:t>múzeumok;</w:t>
      </w:r>
    </w:p>
    <w:p w:rsidR="00D85E23" w:rsidRDefault="00D85E23" w:rsidP="00D85E23">
      <w:pPr>
        <w:pStyle w:val="Listaszerbekezds"/>
        <w:numPr>
          <w:ilvl w:val="0"/>
          <w:numId w:val="8"/>
        </w:numPr>
        <w:spacing w:before="60"/>
        <w:ind w:left="1418"/>
      </w:pPr>
      <w:r>
        <w:t>kereskedelmi vagy ipari tevékenységekre, pl. szállodák, bankok, ipari létesítmények, piacok, farmok, nagy számú embercsoport esetén (pl. nagy lakóépületek, templomok, hivatalok, iskolák).</w:t>
      </w:r>
    </w:p>
    <w:p w:rsidR="00D85E23" w:rsidRDefault="00D85E23" w:rsidP="00D85E23">
      <w:pPr>
        <w:pStyle w:val="Listaszerbekezds"/>
        <w:spacing w:before="60"/>
        <w:ind w:left="993"/>
      </w:pPr>
      <w:r>
        <w:t>Minden más esetben el kell végezni az MSZ HD 60364-4-443:2016 szabvány 443.5. szakasza szerinti kockázatelemzést, annak meghatározása céljából, hogy szükséges-e a tranziens túlfeszültség elleni védelem.</w:t>
      </w:r>
    </w:p>
    <w:p w:rsidR="00D85E23" w:rsidRDefault="00D85E23" w:rsidP="00D85E23">
      <w:pPr>
        <w:pStyle w:val="Listaszerbekezds"/>
        <w:spacing w:before="60"/>
        <w:ind w:left="993"/>
        <w:rPr>
          <w:b/>
          <w:bCs/>
          <w:u w:val="single"/>
        </w:rPr>
      </w:pPr>
      <w:r>
        <w:rPr>
          <w:b/>
          <w:bCs/>
          <w:u w:val="single"/>
        </w:rPr>
        <w:t>A kockázatelemzés elvégzésének hiánya esetén a villamos berendezést el kell látni tranziens túlfeszültség elleni védelemmel.</w:t>
      </w:r>
    </w:p>
    <w:p w:rsidR="00D85E23" w:rsidRDefault="00D85E23" w:rsidP="00D85E23">
      <w:pPr>
        <w:pStyle w:val="Listaszerbekezds"/>
        <w:spacing w:before="240"/>
        <w:ind w:left="993"/>
        <w:rPr>
          <w:color w:val="000000"/>
        </w:rPr>
      </w:pPr>
      <w:r>
        <w:rPr>
          <w:color w:val="000000"/>
        </w:rPr>
        <w:t>A családi házakat kivitelező regisztrált villanyszerelők által végzett mérőhelyi munkák esetében – különösen az épületfalon kialakítandó mérőhelyek vonatkozásában – gyakran merülnek fel kérdések a tranziens túlfeszültség elleni védelem szükségességével kapcsolatban.</w:t>
      </w:r>
    </w:p>
    <w:p w:rsidR="00D85E23" w:rsidRDefault="00D85E23" w:rsidP="00D85E23">
      <w:pPr>
        <w:pStyle w:val="Listaszerbekezds"/>
        <w:numPr>
          <w:ilvl w:val="0"/>
          <w:numId w:val="9"/>
        </w:numPr>
        <w:spacing w:before="60"/>
        <w:ind w:left="1763" w:hanging="357"/>
      </w:pPr>
      <w:r>
        <w:t xml:space="preserve">Az egyedi lakóegységek esetében nincs szükség tranziens túlfeszültség elleni védelemre ott, ahol </w:t>
      </w:r>
      <w:r>
        <w:rPr>
          <w:u w:val="single"/>
        </w:rPr>
        <w:t>a védendő villamos berendezés teljes gazdasági értéke</w:t>
      </w:r>
      <w:r>
        <w:t xml:space="preserve"> kisebb, mint a berendezés táppontján elhelyezett SPD gazdasági értékének ötszöröse. –  Ugyanakkor az ilyen esetekben is javasolt gondoskodni arról, hogy a beépítésre kerülő csatlakozó főelosztóban, vagy külön e célra beépített szekrényben, a túlfeszültség-védelmi eszköz elhelyezése – egyszerű beavatkozással – a későbbiek során biztosított legyen.</w:t>
      </w:r>
    </w:p>
    <w:p w:rsidR="00D85E23" w:rsidRDefault="00D85E23" w:rsidP="00D85E23">
      <w:pPr>
        <w:pStyle w:val="Listaszerbekezds"/>
        <w:numPr>
          <w:ilvl w:val="0"/>
          <w:numId w:val="9"/>
        </w:numPr>
        <w:spacing w:before="60"/>
        <w:ind w:left="1763" w:hanging="357"/>
        <w:rPr>
          <w:color w:val="000000"/>
          <w:u w:val="single"/>
        </w:rPr>
      </w:pPr>
      <w:r>
        <w:rPr>
          <w:color w:val="000000"/>
          <w:u w:val="single"/>
        </w:rPr>
        <w:t>A követelményeket a 2018-ban kiadott regisztrált villanyszerelői kézikönyv, valamint a HD 60364-4-443:2016 szabvány is részletezi. – Lásd még az 54/2014. (XII.5.) BM rendelet előírásait is.</w:t>
      </w:r>
    </w:p>
    <w:p w:rsidR="00D85E23" w:rsidRDefault="00D85E23" w:rsidP="00D85E23">
      <w:pPr>
        <w:pStyle w:val="Listaszerbekezds"/>
        <w:spacing w:before="120"/>
        <w:ind w:left="1418"/>
        <w:rPr>
          <w:color w:val="000000"/>
        </w:rPr>
      </w:pPr>
      <w:r>
        <w:rPr>
          <w:color w:val="000000"/>
        </w:rPr>
        <w:t>A fent említetteket is figyelembe véve, a regisztrált szerelőnek mindig javasolt feltennie a kérdést</w:t>
      </w:r>
    </w:p>
    <w:p w:rsidR="00D85E23" w:rsidRDefault="00D85E23" w:rsidP="00D85E23">
      <w:pPr>
        <w:pStyle w:val="Listaszerbekezds"/>
        <w:spacing w:before="40"/>
        <w:ind w:left="3402"/>
        <w:rPr>
          <w:color w:val="000000"/>
        </w:rPr>
      </w:pPr>
      <w:r>
        <w:rPr>
          <w:b/>
          <w:bCs/>
          <w:i/>
          <w:iCs/>
        </w:rPr>
        <w:t>A tervező kockázatelemzéssel igazolta, hogy nem szükséges tranziens túlfeszültség-védelem kiépítése?</w:t>
      </w:r>
    </w:p>
    <w:p w:rsidR="00D85E23" w:rsidRDefault="00D85E23" w:rsidP="00D85E23">
      <w:pPr>
        <w:pStyle w:val="Cmsor3"/>
        <w:numPr>
          <w:ilvl w:val="0"/>
          <w:numId w:val="10"/>
        </w:numPr>
        <w:rPr>
          <w:rFonts w:ascii="Calibri" w:eastAsia="Times New Roman" w:hAnsi="Calibri" w:cs="Calibri"/>
          <w:sz w:val="22"/>
          <w:szCs w:val="22"/>
          <w:u w:val="single"/>
        </w:rPr>
      </w:pPr>
      <w:r>
        <w:rPr>
          <w:rFonts w:ascii="Calibri" w:eastAsia="Times New Roman" w:hAnsi="Calibri" w:cs="Calibri"/>
          <w:sz w:val="22"/>
          <w:szCs w:val="22"/>
          <w:u w:val="single"/>
        </w:rPr>
        <w:t>Csatlakozó főelosztó szükségessége</w:t>
      </w:r>
      <w:bookmarkEnd w:id="1"/>
    </w:p>
    <w:p w:rsidR="00D85E23" w:rsidRDefault="00D85E23" w:rsidP="00D85E23">
      <w:pPr>
        <w:autoSpaceDE w:val="0"/>
        <w:autoSpaceDN w:val="0"/>
        <w:spacing w:before="40"/>
        <w:ind w:left="851"/>
        <w:jc w:val="both"/>
        <w:rPr>
          <w:rFonts w:ascii="Calibri" w:hAnsi="Calibri" w:cs="Calibri"/>
        </w:rPr>
      </w:pPr>
      <w:r>
        <w:t>Csatlakozó főelosztót kell beépíteni az alábbi esetekben:</w:t>
      </w:r>
    </w:p>
    <w:p w:rsidR="00D85E23" w:rsidRDefault="00D85E23" w:rsidP="00D85E23">
      <w:pPr>
        <w:pStyle w:val="Listaszerbekezds"/>
        <w:numPr>
          <w:ilvl w:val="0"/>
          <w:numId w:val="11"/>
        </w:numPr>
        <w:autoSpaceDE w:val="0"/>
        <w:autoSpaceDN w:val="0"/>
        <w:spacing w:before="60"/>
        <w:jc w:val="both"/>
        <w:rPr>
          <w:rFonts w:eastAsia="Times New Roman"/>
        </w:rPr>
      </w:pPr>
      <w:r>
        <w:rPr>
          <w:rFonts w:eastAsia="Times New Roman"/>
        </w:rPr>
        <w:t>Amikor a csatlakozó kábel „T” leágazással létesül, akkor a telekhatárban, közterületről kezelhető kialakítással.</w:t>
      </w:r>
    </w:p>
    <w:p w:rsidR="00D85E23" w:rsidRDefault="00D85E23" w:rsidP="00D85E23">
      <w:pPr>
        <w:pStyle w:val="Listaszerbekezds"/>
        <w:numPr>
          <w:ilvl w:val="0"/>
          <w:numId w:val="11"/>
        </w:numPr>
        <w:autoSpaceDE w:val="0"/>
        <w:autoSpaceDN w:val="0"/>
        <w:spacing w:before="60"/>
        <w:jc w:val="both"/>
        <w:rPr>
          <w:rFonts w:eastAsia="Times New Roman"/>
        </w:rPr>
      </w:pPr>
      <w:r>
        <w:rPr>
          <w:rFonts w:eastAsia="Times New Roman"/>
        </w:rPr>
        <w:t>Egynél több felhasználási hely táplálása esetén mindig</w:t>
      </w:r>
      <w:r>
        <w:rPr>
          <w:rFonts w:eastAsia="Times New Roman"/>
          <w:color w:val="000000"/>
        </w:rPr>
        <w:t>,</w:t>
      </w:r>
      <w:r>
        <w:rPr>
          <w:rFonts w:eastAsia="Times New Roman"/>
        </w:rPr>
        <w:t xml:space="preserve"> a csatlakozóvezeték/csatlakozókábel fogadására, valamint az első túláramvédelmi készülék elhelyezésére. Ilyen estben a csoportos mérőhely kialakításának szempontjait kell irányadónak tekinteni.</w:t>
      </w:r>
    </w:p>
    <w:p w:rsidR="00D85E23" w:rsidRDefault="00D85E23" w:rsidP="00D85E23">
      <w:pPr>
        <w:pStyle w:val="Listaszerbekezds"/>
        <w:numPr>
          <w:ilvl w:val="0"/>
          <w:numId w:val="11"/>
        </w:numPr>
        <w:autoSpaceDE w:val="0"/>
        <w:autoSpaceDN w:val="0"/>
        <w:spacing w:before="60"/>
        <w:jc w:val="both"/>
        <w:rPr>
          <w:rFonts w:eastAsia="Times New Roman"/>
        </w:rPr>
      </w:pPr>
      <w:r>
        <w:rPr>
          <w:rFonts w:eastAsia="Times New Roman"/>
        </w:rPr>
        <w:t>Egy felhasználási hely táplálása esetén, amikor</w:t>
      </w:r>
    </w:p>
    <w:p w:rsidR="00D85E23" w:rsidRDefault="00D85E23" w:rsidP="00D85E23">
      <w:pPr>
        <w:pStyle w:val="Listaszerbekezds"/>
        <w:numPr>
          <w:ilvl w:val="0"/>
          <w:numId w:val="12"/>
        </w:numPr>
        <w:autoSpaceDE w:val="0"/>
        <w:autoSpaceDN w:val="0"/>
        <w:ind w:left="1985"/>
        <w:jc w:val="both"/>
      </w:pPr>
      <w:r>
        <w:t>a méretlen betáplálásba kerül beépítésre a T1, vagy T1+T2 típusú SPD;</w:t>
      </w:r>
    </w:p>
    <w:p w:rsidR="00D85E23" w:rsidRDefault="00D85E23" w:rsidP="00D85E23">
      <w:pPr>
        <w:pStyle w:val="Listaszerbekezds"/>
        <w:numPr>
          <w:ilvl w:val="0"/>
          <w:numId w:val="12"/>
        </w:numPr>
        <w:autoSpaceDE w:val="0"/>
        <w:autoSpaceDN w:val="0"/>
        <w:ind w:left="1985"/>
        <w:jc w:val="both"/>
      </w:pPr>
      <w:r>
        <w:t>a rendszerengedélyes fogyasztásmérő hely nem alkalmas a felszerelendő darabszámú fogyasztásmérők elhelyezésére és ezért egynél több fogyasztásmérő szekrényt kell alkalmazni.</w:t>
      </w:r>
    </w:p>
    <w:p w:rsidR="00D85E23" w:rsidRDefault="00D85E23" w:rsidP="00D85E23">
      <w:pPr>
        <w:pStyle w:val="Listaszerbekezds"/>
        <w:numPr>
          <w:ilvl w:val="0"/>
          <w:numId w:val="12"/>
        </w:numPr>
        <w:autoSpaceDE w:val="0"/>
        <w:autoSpaceDN w:val="0"/>
        <w:ind w:left="1985"/>
        <w:jc w:val="both"/>
      </w:pPr>
      <w:r>
        <w:lastRenderedPageBreak/>
        <w:t>amikor a csatlakozóvezeték keresztmetszete indokolja;</w:t>
      </w:r>
    </w:p>
    <w:p w:rsidR="00D85E23" w:rsidRDefault="00D85E23" w:rsidP="00D85E23">
      <w:pPr>
        <w:pStyle w:val="Listaszerbekezds"/>
        <w:autoSpaceDE w:val="0"/>
        <w:autoSpaceDN w:val="0"/>
        <w:ind w:left="1560"/>
        <w:jc w:val="both"/>
      </w:pPr>
      <w:r>
        <w:t>Egyéb speciális esetekben.</w:t>
      </w:r>
    </w:p>
    <w:p w:rsidR="00D85E23" w:rsidRDefault="00D85E23" w:rsidP="00D85E23">
      <w:pPr>
        <w:pStyle w:val="Listaszerbekezds"/>
        <w:autoSpaceDE w:val="0"/>
        <w:autoSpaceDN w:val="0"/>
        <w:spacing w:before="40"/>
        <w:ind w:left="1560"/>
        <w:jc w:val="both"/>
      </w:pPr>
      <w:r>
        <w:t>Néhány esetet kivételével, gyakorlatilag mindig szükséges csatlakozó főelosztó beépítése.</w:t>
      </w:r>
    </w:p>
    <w:p w:rsidR="00D85E23" w:rsidRDefault="00D85E23" w:rsidP="00D85E23">
      <w:pPr>
        <w:autoSpaceDE w:val="0"/>
        <w:autoSpaceDN w:val="0"/>
        <w:spacing w:before="40"/>
        <w:ind w:left="2268"/>
        <w:jc w:val="both"/>
        <w:rPr>
          <w:i/>
          <w:iCs/>
        </w:rPr>
      </w:pPr>
      <w:r>
        <w:rPr>
          <w:i/>
          <w:iCs/>
        </w:rPr>
        <w:t>MEGJEGYZÉS: Nem szükséges a csatlakozó főelosztó elhelyezése például oszlopon elhelyezett ideiglenes fogyasztásmérés esetén.</w:t>
      </w:r>
    </w:p>
    <w:p w:rsidR="00D85E23" w:rsidRDefault="00D85E23" w:rsidP="00D85E23">
      <w:pPr>
        <w:pStyle w:val="Listaszerbekezds"/>
        <w:spacing w:before="160"/>
        <w:ind w:left="851"/>
        <w:rPr>
          <w:color w:val="000000"/>
        </w:rPr>
      </w:pPr>
      <w:r>
        <w:rPr>
          <w:color w:val="000000"/>
        </w:rPr>
        <w:t xml:space="preserve">A csatlakozó főelosztó beépítésének szükségességét, a fent említettek figyelembevételével javasolt megítélni. </w:t>
      </w:r>
    </w:p>
    <w:p w:rsidR="00D85E23" w:rsidRDefault="00D85E23" w:rsidP="00D85E23">
      <w:pPr>
        <w:pStyle w:val="Listaszerbekezds"/>
        <w:numPr>
          <w:ilvl w:val="0"/>
          <w:numId w:val="10"/>
        </w:numPr>
        <w:spacing w:before="280"/>
        <w:rPr>
          <w:rFonts w:eastAsia="Times New Roman"/>
          <w:b/>
          <w:bCs/>
          <w:u w:val="single"/>
          <w:lang w:eastAsia="hu-HU"/>
        </w:rPr>
      </w:pPr>
      <w:r>
        <w:rPr>
          <w:rFonts w:eastAsia="Times New Roman"/>
          <w:b/>
          <w:bCs/>
          <w:u w:val="single"/>
          <w:lang w:eastAsia="hu-HU"/>
        </w:rPr>
        <w:t>Méretlen felhasználói vezetékhálózaton alkalmazható túlfeszültség-védelmi eszközök (SPD-k)</w:t>
      </w:r>
    </w:p>
    <w:p w:rsidR="00D85E23" w:rsidRPr="00D85E23" w:rsidRDefault="00D85E23" w:rsidP="00D85E23">
      <w:pPr>
        <w:rPr>
          <w:b/>
        </w:rPr>
      </w:pPr>
      <w:r>
        <w:rPr>
          <w:noProof/>
        </w:rPr>
        <w:drawing>
          <wp:inline distT="0" distB="0" distL="0" distR="0">
            <wp:extent cx="5760720" cy="1058545"/>
            <wp:effectExtent l="0" t="0" r="0" b="8255"/>
            <wp:docPr id="1" name="Kép 1" descr="cid:image003.jpg@01D50FAA.C6D82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cid:image003.jpg@01D50FAA.C6D82A5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23" w:rsidRDefault="00A17D1D" w:rsidP="00A17D1D">
      <w:pPr>
        <w:spacing w:after="0"/>
        <w:rPr>
          <w:b/>
        </w:rPr>
      </w:pPr>
      <w:r w:rsidRPr="00A17D1D">
        <w:rPr>
          <w:b/>
        </w:rPr>
        <w:t>GYIK Hírlevél, - pontosítás</w:t>
      </w:r>
    </w:p>
    <w:p w:rsidR="00A17D1D" w:rsidRDefault="00A17D1D" w:rsidP="00A17D1D">
      <w:pPr>
        <w:spacing w:after="0"/>
      </w:pPr>
      <w:r w:rsidRPr="00A17D1D">
        <w:t>2019.03.06.</w:t>
      </w:r>
    </w:p>
    <w:p w:rsidR="00A17D1D" w:rsidRDefault="00A17D1D" w:rsidP="00A17D1D">
      <w:r>
        <w:t>Tisztelt Parterünk!</w:t>
      </w:r>
    </w:p>
    <w:p w:rsidR="00A17D1D" w:rsidRDefault="00A17D1D" w:rsidP="00A17D1D"/>
    <w:p w:rsidR="00A17D1D" w:rsidRDefault="00A17D1D" w:rsidP="00A17D1D">
      <w:r>
        <w:t xml:space="preserve">A 2018. december </w:t>
      </w:r>
      <w:r>
        <w:rPr>
          <w:color w:val="000000"/>
        </w:rPr>
        <w:t>12</w:t>
      </w:r>
      <w:r>
        <w:t>-</w:t>
      </w:r>
      <w:r>
        <w:rPr>
          <w:color w:val="000000"/>
        </w:rPr>
        <w:t>é</w:t>
      </w:r>
      <w:r>
        <w:t xml:space="preserve">n kiküldött hírlevelünk tartalmát, az alábbi tartalom váltja fel: </w:t>
      </w:r>
    </w:p>
    <w:p w:rsidR="00A17D1D" w:rsidRDefault="00A17D1D" w:rsidP="00A17D1D"/>
    <w:p w:rsidR="00A17D1D" w:rsidRDefault="00A17D1D" w:rsidP="00A17D1D">
      <w:pPr>
        <w:pStyle w:val="Listaszerbekezds"/>
        <w:numPr>
          <w:ilvl w:val="0"/>
          <w:numId w:val="2"/>
        </w:numPr>
        <w:ind w:left="709" w:hanging="349"/>
        <w:rPr>
          <w:b/>
          <w:bCs/>
        </w:rPr>
      </w:pPr>
      <w:r>
        <w:rPr>
          <w:b/>
          <w:bCs/>
        </w:rPr>
        <w:t>Ingatlancsatlakozások darabszáma</w:t>
      </w:r>
    </w:p>
    <w:p w:rsidR="00A17D1D" w:rsidRDefault="00A17D1D" w:rsidP="00A17D1D">
      <w:pPr>
        <w:numPr>
          <w:ilvl w:val="0"/>
          <w:numId w:val="18"/>
        </w:numPr>
        <w:spacing w:before="60" w:after="0" w:line="240" w:lineRule="auto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Általános esetben egy ingatlannak csak egy csatlakozása lehet.  Ettől eltérni, az alábbi esetekben szabad</w:t>
      </w:r>
    </w:p>
    <w:p w:rsidR="00A17D1D" w:rsidRDefault="00A17D1D" w:rsidP="00A17D1D">
      <w:pPr>
        <w:pStyle w:val="Listaszerbekezds"/>
        <w:numPr>
          <w:ilvl w:val="0"/>
          <w:numId w:val="19"/>
        </w:numPr>
        <w:spacing w:before="40"/>
        <w:ind w:left="1985"/>
      </w:pPr>
      <w:r>
        <w:t>abban az esetben szabad egy ingatlanhoz két – vagy több – csatlakozási pontot kiépíteni kisfeszültségen, ha azt az ingatlanon lévő felhasználási hely(</w:t>
      </w:r>
      <w:proofErr w:type="spellStart"/>
      <w:r>
        <w:t>ek</w:t>
      </w:r>
      <w:proofErr w:type="spellEnd"/>
      <w:r>
        <w:t xml:space="preserve">) növelt üzembiztonságú ellátásra vonatkozó igénye indokolja, vagy </w:t>
      </w:r>
    </w:p>
    <w:p w:rsidR="00A17D1D" w:rsidRDefault="00A17D1D" w:rsidP="00A17D1D">
      <w:pPr>
        <w:pStyle w:val="Listaszerbekezds"/>
        <w:numPr>
          <w:ilvl w:val="0"/>
          <w:numId w:val="19"/>
        </w:numPr>
        <w:spacing w:before="40"/>
        <w:ind w:left="1985"/>
      </w:pPr>
      <w:r>
        <w:t>az adott ingatlanon lévő felhasználási helyek külön tűzszakaszba esnek és műszaki, gazdasági, vagy egyéb szempontok is indokolják.</w:t>
      </w:r>
    </w:p>
    <w:p w:rsidR="00A17D1D" w:rsidRDefault="00A17D1D" w:rsidP="00A17D1D">
      <w:pPr>
        <w:pStyle w:val="Listaszerbekezds"/>
        <w:spacing w:before="120"/>
        <w:ind w:left="1418"/>
      </w:pPr>
      <w:r>
        <w:t>MEGJEGYZÉS: A kialakítás módját az elosztóhálózati engedélyessel előzetesen egyeztetni kell. Az ilyen típusú igények kezeléséhez a területileg illetékes üzem állásfoglalását kell kérni.</w:t>
      </w:r>
    </w:p>
    <w:p w:rsidR="00A17D1D" w:rsidRDefault="00A17D1D" w:rsidP="00A17D1D">
      <w:pPr>
        <w:pStyle w:val="Cmsor3"/>
        <w:numPr>
          <w:ilvl w:val="0"/>
          <w:numId w:val="18"/>
        </w:numPr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t>Csatlakozó főelosztó beépítésének szükségessége</w:t>
      </w:r>
    </w:p>
    <w:p w:rsidR="00A17D1D" w:rsidRDefault="00A17D1D" w:rsidP="00A17D1D">
      <w:pPr>
        <w:autoSpaceDE w:val="0"/>
        <w:autoSpaceDN w:val="0"/>
        <w:spacing w:before="40"/>
        <w:ind w:left="1418"/>
        <w:jc w:val="both"/>
        <w:rPr>
          <w:rFonts w:ascii="Calibri" w:hAnsi="Calibri" w:cs="Calibri"/>
        </w:rPr>
      </w:pPr>
      <w:r>
        <w:t>Csatlakozó főelosztót kell beépíteni az alábbi esetekben:</w:t>
      </w:r>
    </w:p>
    <w:p w:rsidR="00A17D1D" w:rsidRDefault="00A17D1D" w:rsidP="00A17D1D">
      <w:pPr>
        <w:pStyle w:val="Listaszerbekezds"/>
        <w:numPr>
          <w:ilvl w:val="0"/>
          <w:numId w:val="20"/>
        </w:numPr>
        <w:autoSpaceDE w:val="0"/>
        <w:autoSpaceDN w:val="0"/>
        <w:spacing w:before="60"/>
        <w:ind w:left="1985" w:hanging="357"/>
        <w:jc w:val="both"/>
      </w:pPr>
      <w:r>
        <w:t>Egynél több felhasználási hely táplálása esetén mindig</w:t>
      </w:r>
      <w:r>
        <w:rPr>
          <w:color w:val="000000"/>
        </w:rPr>
        <w:t>,</w:t>
      </w:r>
      <w:r>
        <w:t xml:space="preserve"> a csatlakozóvezeték/kábel fogadására, valamint az első túláramvédelmi készülék elhelyezésére. Ilyen estben a csoportos mérőhely kialakításának szempontjait kell irányadónak tekinteni.</w:t>
      </w:r>
    </w:p>
    <w:p w:rsidR="00A17D1D" w:rsidRDefault="00A17D1D" w:rsidP="00A17D1D">
      <w:pPr>
        <w:pStyle w:val="Listaszerbekezds"/>
        <w:numPr>
          <w:ilvl w:val="0"/>
          <w:numId w:val="20"/>
        </w:numPr>
        <w:autoSpaceDE w:val="0"/>
        <w:autoSpaceDN w:val="0"/>
        <w:spacing w:before="60"/>
        <w:ind w:left="1985" w:hanging="357"/>
        <w:jc w:val="both"/>
      </w:pPr>
      <w:r>
        <w:t>Egy felhasználási hely táplálása esetén, amikor</w:t>
      </w:r>
    </w:p>
    <w:p w:rsidR="00A17D1D" w:rsidRDefault="00A17D1D" w:rsidP="00A17D1D">
      <w:pPr>
        <w:numPr>
          <w:ilvl w:val="1"/>
          <w:numId w:val="21"/>
        </w:numPr>
        <w:autoSpaceDE w:val="0"/>
        <w:autoSpaceDN w:val="0"/>
        <w:spacing w:after="0" w:line="240" w:lineRule="auto"/>
        <w:ind w:left="2551" w:hanging="357"/>
        <w:jc w:val="both"/>
      </w:pPr>
      <w:r>
        <w:t>a méretlen betáplálásba kerül beépítésre a T1 típusú SPD;</w:t>
      </w:r>
    </w:p>
    <w:p w:rsidR="00A17D1D" w:rsidRDefault="00A17D1D" w:rsidP="00A17D1D">
      <w:pPr>
        <w:numPr>
          <w:ilvl w:val="1"/>
          <w:numId w:val="21"/>
        </w:numPr>
        <w:autoSpaceDE w:val="0"/>
        <w:autoSpaceDN w:val="0"/>
        <w:spacing w:after="0" w:line="240" w:lineRule="auto"/>
        <w:ind w:left="2551" w:hanging="357"/>
        <w:jc w:val="both"/>
      </w:pPr>
      <w:r>
        <w:lastRenderedPageBreak/>
        <w:t>a rendszerengedélyes fogyasztásmérő hely nem alkalmas a felszerelendő darabszámú fogyasztásmérők elhelyezésére és ezért egynél több fogyasztásmérő szekrényt kell alkalmazni.</w:t>
      </w:r>
    </w:p>
    <w:p w:rsidR="00A17D1D" w:rsidRDefault="00A17D1D" w:rsidP="00A17D1D">
      <w:pPr>
        <w:numPr>
          <w:ilvl w:val="1"/>
          <w:numId w:val="21"/>
        </w:numPr>
        <w:autoSpaceDE w:val="0"/>
        <w:autoSpaceDN w:val="0"/>
        <w:spacing w:after="0" w:line="240" w:lineRule="auto"/>
        <w:ind w:left="2551" w:hanging="357"/>
        <w:jc w:val="both"/>
      </w:pPr>
      <w:r>
        <w:t>Egyéb speciális esetekben.</w:t>
      </w:r>
    </w:p>
    <w:p w:rsidR="00A17D1D" w:rsidRDefault="00A17D1D" w:rsidP="00A17D1D">
      <w:pPr>
        <w:pStyle w:val="Listaszerbekezds"/>
        <w:numPr>
          <w:ilvl w:val="0"/>
          <w:numId w:val="20"/>
        </w:numPr>
        <w:autoSpaceDE w:val="0"/>
        <w:autoSpaceDN w:val="0"/>
        <w:spacing w:before="120"/>
        <w:ind w:left="1985"/>
        <w:jc w:val="both"/>
      </w:pPr>
      <w:r>
        <w:t>Néhány esetet kivételével, gyakorlatilag mindig szükséges a csatlakozó főelosztó beépítése.</w:t>
      </w:r>
    </w:p>
    <w:p w:rsidR="00A17D1D" w:rsidRDefault="00A17D1D" w:rsidP="00A17D1D">
      <w:pPr>
        <w:autoSpaceDE w:val="0"/>
        <w:autoSpaceDN w:val="0"/>
        <w:ind w:left="1985"/>
        <w:jc w:val="both"/>
        <w:rPr>
          <w:i/>
          <w:iCs/>
        </w:rPr>
      </w:pPr>
      <w:r>
        <w:rPr>
          <w:i/>
          <w:iCs/>
        </w:rPr>
        <w:t>Megjegyzés: Nem szükséges a csatlakozó főelosztó elhelyezése például oszlopon elhelyezett ideiglenes fogyasztásmérés esetén.</w:t>
      </w:r>
    </w:p>
    <w:p w:rsidR="00A17D1D" w:rsidRDefault="00A17D1D" w:rsidP="00A17D1D">
      <w:pPr>
        <w:numPr>
          <w:ilvl w:val="0"/>
          <w:numId w:val="18"/>
        </w:numPr>
        <w:spacing w:before="120" w:after="0" w:line="240" w:lineRule="auto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Első túláramvédelmi készülék</w:t>
      </w:r>
    </w:p>
    <w:p w:rsidR="00A17D1D" w:rsidRDefault="00A17D1D" w:rsidP="00A17D1D">
      <w:pPr>
        <w:pStyle w:val="Listaszerbekezds"/>
        <w:spacing w:before="40"/>
        <w:ind w:left="1429"/>
      </w:pPr>
      <w:r>
        <w:t>Az első túláramvédelmi készüléket a következők szerint kell elhelyezni:</w:t>
      </w:r>
    </w:p>
    <w:p w:rsidR="00A17D1D" w:rsidRDefault="00A17D1D" w:rsidP="00A17D1D">
      <w:pPr>
        <w:pStyle w:val="Listaszerbekezds"/>
        <w:numPr>
          <w:ilvl w:val="0"/>
          <w:numId w:val="20"/>
        </w:numPr>
        <w:autoSpaceDE w:val="0"/>
        <w:autoSpaceDN w:val="0"/>
        <w:spacing w:before="40"/>
        <w:ind w:left="1984" w:hanging="357"/>
        <w:jc w:val="both"/>
      </w:pPr>
      <w:r>
        <w:t>Amennyiben a méretlen oldalon túlfeszültség-védelem kialakítására nincs szükség, akkor fogyasztásmérőnél, azzal közös szekrényben, ha</w:t>
      </w:r>
    </w:p>
    <w:p w:rsidR="00A17D1D" w:rsidRDefault="00A17D1D" w:rsidP="00A17D1D">
      <w:pPr>
        <w:pStyle w:val="Listaszerbekezds"/>
        <w:numPr>
          <w:ilvl w:val="1"/>
          <w:numId w:val="22"/>
        </w:numPr>
        <w:ind w:left="2551" w:hanging="357"/>
      </w:pPr>
      <w:r>
        <w:t xml:space="preserve">a csatlakozóvezeték </w:t>
      </w:r>
      <w:proofErr w:type="spellStart"/>
      <w:r>
        <w:t>fázisonként</w:t>
      </w:r>
      <w:proofErr w:type="spellEnd"/>
      <w:r>
        <w:t xml:space="preserve"> csak egy felhasználási helyet lát el, a hálózati </w:t>
      </w:r>
      <w:proofErr w:type="spellStart"/>
      <w:r>
        <w:t>leágazópont</w:t>
      </w:r>
      <w:proofErr w:type="spellEnd"/>
      <w:r>
        <w:t xml:space="preserve"> és a fogyasztásmérő berendezés között a fázisvezetőben nincs, nullavezetőben pedig (a csupasz sodrony és a szigetelt vezető összekötésénél) csak egy vezetőkötés van;</w:t>
      </w:r>
    </w:p>
    <w:p w:rsidR="00A17D1D" w:rsidRDefault="00A17D1D" w:rsidP="00A17D1D">
      <w:pPr>
        <w:pStyle w:val="Listaszerbekezds"/>
        <w:numPr>
          <w:ilvl w:val="1"/>
          <w:numId w:val="22"/>
        </w:numPr>
        <w:ind w:left="2551" w:hanging="357"/>
      </w:pPr>
      <w:r>
        <w:t xml:space="preserve">a csatlakozóvezeték csak egy felhasználási helyet lát el, a fővezetéket az MSZ 447:2009 szabvány hatálybalépése előtt létesítették, és a hálózati </w:t>
      </w:r>
      <w:proofErr w:type="spellStart"/>
      <w:r>
        <w:t>leágazópont</w:t>
      </w:r>
      <w:proofErr w:type="spellEnd"/>
      <w:r>
        <w:t xml:space="preserve"> és a fogyasztásmérő berendezés között mind a fázisvezetőben, mind a nullavezetőben (a nullavezető csupasz sodronyának és szigetelt vezetőjének összekötését is beleértve) legfeljebb egy-egy vezetőkötés van (függetlenül attól, hogy a fővezetéket felújították-e vagy sem).</w:t>
      </w:r>
    </w:p>
    <w:p w:rsidR="00A17D1D" w:rsidRDefault="00A17D1D" w:rsidP="00A17D1D">
      <w:pPr>
        <w:pStyle w:val="Listaszerbekezds"/>
        <w:numPr>
          <w:ilvl w:val="0"/>
          <w:numId w:val="20"/>
        </w:numPr>
        <w:autoSpaceDE w:val="0"/>
        <w:autoSpaceDN w:val="0"/>
        <w:spacing w:before="60"/>
        <w:ind w:left="1984" w:hanging="357"/>
        <w:jc w:val="both"/>
      </w:pPr>
      <w:r>
        <w:t>Amennyiben a csatlakozóvezeték / csatlakozókábel egynél több felhasználási helyet lát el, vagy túlfeszültség-védelem kialakítása szükséges, akkor az első túláramvédelmi készüléket, a csatlakozó főelosztóban, kell elhelyezni;</w:t>
      </w:r>
    </w:p>
    <w:p w:rsidR="00A17D1D" w:rsidRDefault="00A17D1D" w:rsidP="00A17D1D">
      <w:pPr>
        <w:pStyle w:val="Listaszerbekezds"/>
        <w:numPr>
          <w:ilvl w:val="0"/>
          <w:numId w:val="20"/>
        </w:numPr>
        <w:autoSpaceDE w:val="0"/>
        <w:autoSpaceDN w:val="0"/>
        <w:spacing w:before="60"/>
        <w:ind w:left="1985" w:hanging="357"/>
        <w:jc w:val="both"/>
      </w:pPr>
      <w:r>
        <w:t>A transzformátorállomás gyűjtősínjénél, ha a csatlakozóvezeték onnan indul.</w:t>
      </w:r>
    </w:p>
    <w:p w:rsidR="00A17D1D" w:rsidRDefault="00A17D1D" w:rsidP="00A17D1D">
      <w:pPr>
        <w:pStyle w:val="Listaszerbekezds"/>
        <w:numPr>
          <w:ilvl w:val="0"/>
          <w:numId w:val="2"/>
        </w:numPr>
        <w:spacing w:before="240"/>
        <w:ind w:left="1066" w:hanging="709"/>
        <w:rPr>
          <w:b/>
          <w:bCs/>
        </w:rPr>
      </w:pPr>
      <w:r>
        <w:rPr>
          <w:b/>
          <w:bCs/>
        </w:rPr>
        <w:t>Csatlakozóvezeték, fővezeték kialakítása, terheltősége</w:t>
      </w:r>
    </w:p>
    <w:p w:rsidR="00A17D1D" w:rsidRDefault="00A17D1D" w:rsidP="00A17D1D">
      <w:pPr>
        <w:pStyle w:val="Listaszerbekezds"/>
        <w:spacing w:before="60"/>
        <w:ind w:left="1066"/>
      </w:pPr>
      <w:r>
        <w:t xml:space="preserve">A csatlakozóvezeték méretlen fővezeték kialakítását, terhelhetőségét a 2018-ban kiadott Regisztrált szerelői kézikönyv részletesen ismerteti és az alábbi kiegészítést teszi:  </w:t>
      </w:r>
    </w:p>
    <w:p w:rsidR="00A17D1D" w:rsidRDefault="00A17D1D" w:rsidP="00A17D1D">
      <w:pPr>
        <w:pStyle w:val="Listaszerbekezds"/>
        <w:spacing w:before="40"/>
        <w:ind w:left="1066"/>
        <w:rPr>
          <w:i/>
          <w:iCs/>
        </w:rPr>
      </w:pPr>
      <w:r>
        <w:rPr>
          <w:i/>
          <w:iCs/>
        </w:rPr>
        <w:t>„Különös figyelmet kell fordítani a hőszigetelő vakolatokba, vagy épület hőszigetelés alá helyezett fővezetékek esetére, mert ott a vezetékek hőleadása erősen akadályozott lehet!”</w:t>
      </w:r>
    </w:p>
    <w:p w:rsidR="00A17D1D" w:rsidRDefault="00A17D1D" w:rsidP="00A17D1D">
      <w:pPr>
        <w:pStyle w:val="Listaszerbekezds"/>
        <w:spacing w:before="60"/>
        <w:ind w:left="1066"/>
      </w:pPr>
      <w:r>
        <w:t xml:space="preserve">Tehát a fővezeték védőcsövének hőszigetelésben történő elhelyezése nem tiltott, ugyanakkor nem is preferált megoldás. Ezért az ilyen kialakítást – ahol ez előreláthatóan ésszerű költségkihatások mellett megtehető – javasolt elkerülni.  </w:t>
      </w:r>
    </w:p>
    <w:p w:rsidR="00A17D1D" w:rsidRDefault="00A17D1D" w:rsidP="00A17D1D">
      <w:pPr>
        <w:pStyle w:val="Listaszerbekezds"/>
        <w:numPr>
          <w:ilvl w:val="0"/>
          <w:numId w:val="2"/>
        </w:numPr>
        <w:spacing w:before="240"/>
        <w:ind w:left="1066" w:hanging="709"/>
        <w:rPr>
          <w:b/>
          <w:bCs/>
        </w:rPr>
      </w:pPr>
      <w:r>
        <w:rPr>
          <w:b/>
          <w:bCs/>
        </w:rPr>
        <w:t>Egy adott felhasználási helyre párhuzamosan nem tehet két különböző regisztrált szerelő bejelentést</w:t>
      </w:r>
    </w:p>
    <w:p w:rsidR="00A17D1D" w:rsidRDefault="00A17D1D" w:rsidP="00A17D1D">
      <w:pPr>
        <w:pStyle w:val="Listaszerbekezds"/>
        <w:spacing w:before="60"/>
        <w:ind w:left="1066"/>
      </w:pPr>
      <w:r>
        <w:t>Például: amikor FAM vizsgával nem rendelkező regisztrált villanyszerelő megkéri a teljesítménybővítést és vele párhuzamosan a FAM vizsgával rendelkező regisztrált villanyszerelő a plombabontást jelenti be és nem kér feszültségmentesítést. Ezen eseteket 2018.10.01-től visszaélésként kezeljük és etikai meghallgatást von maga után.</w:t>
      </w:r>
    </w:p>
    <w:p w:rsidR="00A17D1D" w:rsidRDefault="00A17D1D" w:rsidP="00A17D1D">
      <w:pPr>
        <w:pStyle w:val="Listaszerbekezds"/>
        <w:numPr>
          <w:ilvl w:val="0"/>
          <w:numId w:val="2"/>
        </w:numPr>
        <w:spacing w:before="240"/>
        <w:ind w:left="1066" w:hanging="709"/>
        <w:rPr>
          <w:b/>
          <w:bCs/>
        </w:rPr>
      </w:pPr>
      <w:r>
        <w:rPr>
          <w:b/>
          <w:bCs/>
        </w:rPr>
        <w:t>Kosaras gépjármű szükségességének eldöntése</w:t>
      </w:r>
    </w:p>
    <w:p w:rsidR="00A17D1D" w:rsidRDefault="00A17D1D" w:rsidP="00A17D1D">
      <w:pPr>
        <w:pStyle w:val="Listaszerbekezds"/>
        <w:numPr>
          <w:ilvl w:val="0"/>
          <w:numId w:val="23"/>
        </w:numPr>
        <w:spacing w:before="60"/>
        <w:ind w:hanging="357"/>
      </w:pPr>
      <w:r>
        <w:t xml:space="preserve">Kosaras gépjármű akkor szükséges, ha </w:t>
      </w:r>
    </w:p>
    <w:p w:rsidR="00A17D1D" w:rsidRDefault="00A17D1D" w:rsidP="00A17D1D">
      <w:pPr>
        <w:pStyle w:val="Listaszerbekezds"/>
        <w:numPr>
          <w:ilvl w:val="0"/>
          <w:numId w:val="24"/>
        </w:numPr>
        <w:ind w:left="1985"/>
      </w:pPr>
      <w:r>
        <w:t>munkavédelmi szempontból kétséges a támasztó létra használata (pl. a létra nem stabil és a szerelőpár mellett + egy embernek kellene felügyelni);</w:t>
      </w:r>
    </w:p>
    <w:p w:rsidR="00A17D1D" w:rsidRDefault="00A17D1D" w:rsidP="00A17D1D">
      <w:pPr>
        <w:pStyle w:val="Listaszerbekezds"/>
        <w:numPr>
          <w:ilvl w:val="0"/>
          <w:numId w:val="24"/>
        </w:numPr>
        <w:ind w:left="1985"/>
      </w:pPr>
      <w:r>
        <w:lastRenderedPageBreak/>
        <w:t>a csatlakozás 5 m-nél magasabban lévő tetőtartóra, falitartóra történik;</w:t>
      </w:r>
    </w:p>
    <w:p w:rsidR="00A17D1D" w:rsidRDefault="00A17D1D" w:rsidP="00A17D1D">
      <w:pPr>
        <w:pStyle w:val="Listaszerbekezds"/>
        <w:numPr>
          <w:ilvl w:val="0"/>
          <w:numId w:val="24"/>
        </w:numPr>
        <w:ind w:left="1985"/>
      </w:pPr>
      <w:r>
        <w:t>az oszlop nem mászható (pl. régi korhadt faoszlop, kerítésbe épített nehezen hozzáférhető oszlop, gyengeáramú kábeleket tartalmazó oszlop, vagy virágtartókkal körbeépített oszlop esetén).</w:t>
      </w:r>
    </w:p>
    <w:p w:rsidR="00A17D1D" w:rsidRDefault="00A17D1D" w:rsidP="00A17D1D">
      <w:pPr>
        <w:pStyle w:val="Listaszerbekezds"/>
        <w:numPr>
          <w:ilvl w:val="0"/>
          <w:numId w:val="25"/>
        </w:numPr>
        <w:spacing w:before="60"/>
        <w:ind w:hanging="357"/>
      </w:pPr>
      <w:r>
        <w:t xml:space="preserve">Amennyiben a csatlakozóvezeték tetőtartóra, falitartóra történő rögzítéséhez az a) pontban említettek miatt kosaras gépjárműre lenne szükség, de a munkavégzés helyét a kosaras gépjárművel nem lehet megközelíteni, akkor </w:t>
      </w:r>
      <w:r>
        <w:rPr>
          <w:b/>
          <w:bCs/>
        </w:rPr>
        <w:t>a munkaeszközök és használatuk biztonsági és egészségügyi követelményeinek minimális szintjéről szóló, 10/2016. (IV. 5.) NGM rendelet</w:t>
      </w:r>
      <w:r>
        <w:t xml:space="preserve"> d) pontja szerint kell eljárni.</w:t>
      </w:r>
    </w:p>
    <w:p w:rsidR="00A17D1D" w:rsidRDefault="00A17D1D" w:rsidP="00A17D1D">
      <w:pPr>
        <w:pStyle w:val="Listaszerbekezds"/>
        <w:spacing w:before="40"/>
        <w:ind w:left="1701"/>
        <w:rPr>
          <w:i/>
          <w:iCs/>
        </w:rPr>
      </w:pPr>
      <w:r>
        <w:rPr>
          <w:i/>
          <w:iCs/>
        </w:rPr>
        <w:t>„magasban levő munkahelyen ideiglenesen végzett munka: az 1 méternél nagyobb szintkülönbségen – kivéve, ha e rendelet eltérően nem rendelkezik – végzett, nem állandó jellegű, rövid ideig tartó munka, ahol a biztonsági és ergonómiai követelményeknek megfelelő munkahelyi körülmények nem biztosítottak, ezért egyedi kockázatmegelőző intézkedések megtétele szükséges;”</w:t>
      </w:r>
    </w:p>
    <w:p w:rsidR="00A17D1D" w:rsidRDefault="00A17D1D" w:rsidP="00A17D1D">
      <w:pPr>
        <w:pStyle w:val="Listaszerbekezds"/>
        <w:spacing w:before="40"/>
        <w:ind w:left="1429"/>
      </w:pPr>
      <w:r>
        <w:t xml:space="preserve">A kockázatmegelőző intézkedések meghatározásához és elvégzéséhez adott esetben, arra jogosult szakember bevonására lehet szükség (pl. szakági tervező(k), munkavédelmi </w:t>
      </w:r>
      <w:proofErr w:type="gramStart"/>
      <w:r>
        <w:t>szakember,</w:t>
      </w:r>
      <w:proofErr w:type="gramEnd"/>
      <w:r>
        <w:t xml:space="preserve"> stb.).</w:t>
      </w:r>
    </w:p>
    <w:p w:rsidR="00A17D1D" w:rsidRPr="00A17D1D" w:rsidRDefault="00A17D1D" w:rsidP="00A17D1D">
      <w:pPr>
        <w:spacing w:after="0"/>
      </w:pPr>
    </w:p>
    <w:sectPr w:rsidR="00A17D1D" w:rsidRPr="00A17D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53D51"/>
    <w:multiLevelType w:val="hybridMultilevel"/>
    <w:tmpl w:val="250ED1B0"/>
    <w:lvl w:ilvl="0" w:tplc="040E0017">
      <w:start w:val="1"/>
      <w:numFmt w:val="lowerLetter"/>
      <w:lvlText w:val="%1)"/>
      <w:lvlJc w:val="left"/>
      <w:pPr>
        <w:ind w:left="1429" w:hanging="360"/>
      </w:pPr>
    </w:lvl>
    <w:lvl w:ilvl="1" w:tplc="9D8CA780">
      <w:numFmt w:val="bullet"/>
      <w:lvlText w:val="•"/>
      <w:lvlJc w:val="left"/>
      <w:pPr>
        <w:ind w:left="2641" w:hanging="852"/>
      </w:pPr>
      <w:rPr>
        <w:rFonts w:ascii="Calibri" w:eastAsia="Calibri" w:hAnsi="Calibri" w:cs="Calibri" w:hint="default"/>
      </w:rPr>
    </w:lvl>
    <w:lvl w:ilvl="2" w:tplc="040E001B">
      <w:start w:val="1"/>
      <w:numFmt w:val="lowerRoman"/>
      <w:lvlText w:val="%3."/>
      <w:lvlJc w:val="right"/>
      <w:pPr>
        <w:ind w:left="2869" w:hanging="180"/>
      </w:pPr>
    </w:lvl>
    <w:lvl w:ilvl="3" w:tplc="040E000F">
      <w:start w:val="1"/>
      <w:numFmt w:val="decimal"/>
      <w:lvlText w:val="%4."/>
      <w:lvlJc w:val="left"/>
      <w:pPr>
        <w:ind w:left="3589" w:hanging="360"/>
      </w:pPr>
    </w:lvl>
    <w:lvl w:ilvl="4" w:tplc="040E0019">
      <w:start w:val="1"/>
      <w:numFmt w:val="lowerLetter"/>
      <w:lvlText w:val="%5."/>
      <w:lvlJc w:val="left"/>
      <w:pPr>
        <w:ind w:left="4309" w:hanging="360"/>
      </w:pPr>
    </w:lvl>
    <w:lvl w:ilvl="5" w:tplc="040E001B">
      <w:start w:val="1"/>
      <w:numFmt w:val="lowerRoman"/>
      <w:lvlText w:val="%6."/>
      <w:lvlJc w:val="right"/>
      <w:pPr>
        <w:ind w:left="5029" w:hanging="180"/>
      </w:pPr>
    </w:lvl>
    <w:lvl w:ilvl="6" w:tplc="040E000F">
      <w:start w:val="1"/>
      <w:numFmt w:val="decimal"/>
      <w:lvlText w:val="%7."/>
      <w:lvlJc w:val="left"/>
      <w:pPr>
        <w:ind w:left="5749" w:hanging="360"/>
      </w:pPr>
    </w:lvl>
    <w:lvl w:ilvl="7" w:tplc="040E0019">
      <w:start w:val="1"/>
      <w:numFmt w:val="lowerLetter"/>
      <w:lvlText w:val="%8."/>
      <w:lvlJc w:val="left"/>
      <w:pPr>
        <w:ind w:left="6469" w:hanging="360"/>
      </w:pPr>
    </w:lvl>
    <w:lvl w:ilvl="8" w:tplc="040E001B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53B4989"/>
    <w:multiLevelType w:val="hybridMultilevel"/>
    <w:tmpl w:val="A32A1B7C"/>
    <w:lvl w:ilvl="0" w:tplc="040E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063E18B1"/>
    <w:multiLevelType w:val="hybridMultilevel"/>
    <w:tmpl w:val="C0BECEC6"/>
    <w:lvl w:ilvl="0" w:tplc="040E000F">
      <w:start w:val="1"/>
      <w:numFmt w:val="decimal"/>
      <w:lvlText w:val="%1."/>
      <w:lvlJc w:val="left"/>
      <w:pPr>
        <w:ind w:left="1068" w:hanging="708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80216"/>
    <w:multiLevelType w:val="hybridMultilevel"/>
    <w:tmpl w:val="12C6B624"/>
    <w:lvl w:ilvl="0" w:tplc="5C8E3588">
      <w:start w:val="20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C7098"/>
    <w:multiLevelType w:val="hybridMultilevel"/>
    <w:tmpl w:val="A8541108"/>
    <w:lvl w:ilvl="0" w:tplc="040E0017">
      <w:start w:val="1"/>
      <w:numFmt w:val="lowerLetter"/>
      <w:lvlText w:val="%1)"/>
      <w:lvlJc w:val="left"/>
      <w:pPr>
        <w:ind w:left="1434" w:hanging="360"/>
      </w:pPr>
    </w:lvl>
    <w:lvl w:ilvl="1" w:tplc="040E0019">
      <w:start w:val="1"/>
      <w:numFmt w:val="lowerLetter"/>
      <w:lvlText w:val="%2."/>
      <w:lvlJc w:val="left"/>
      <w:pPr>
        <w:ind w:left="2154" w:hanging="360"/>
      </w:pPr>
    </w:lvl>
    <w:lvl w:ilvl="2" w:tplc="040E001B">
      <w:start w:val="1"/>
      <w:numFmt w:val="lowerRoman"/>
      <w:lvlText w:val="%3."/>
      <w:lvlJc w:val="right"/>
      <w:pPr>
        <w:ind w:left="2874" w:hanging="180"/>
      </w:pPr>
    </w:lvl>
    <w:lvl w:ilvl="3" w:tplc="040E000F">
      <w:start w:val="1"/>
      <w:numFmt w:val="decimal"/>
      <w:lvlText w:val="%4."/>
      <w:lvlJc w:val="left"/>
      <w:pPr>
        <w:ind w:left="3594" w:hanging="360"/>
      </w:pPr>
    </w:lvl>
    <w:lvl w:ilvl="4" w:tplc="040E0019">
      <w:start w:val="1"/>
      <w:numFmt w:val="lowerLetter"/>
      <w:lvlText w:val="%5."/>
      <w:lvlJc w:val="left"/>
      <w:pPr>
        <w:ind w:left="4314" w:hanging="360"/>
      </w:pPr>
    </w:lvl>
    <w:lvl w:ilvl="5" w:tplc="040E001B">
      <w:start w:val="1"/>
      <w:numFmt w:val="lowerRoman"/>
      <w:lvlText w:val="%6."/>
      <w:lvlJc w:val="right"/>
      <w:pPr>
        <w:ind w:left="5034" w:hanging="180"/>
      </w:pPr>
    </w:lvl>
    <w:lvl w:ilvl="6" w:tplc="040E000F">
      <w:start w:val="1"/>
      <w:numFmt w:val="decimal"/>
      <w:lvlText w:val="%7."/>
      <w:lvlJc w:val="left"/>
      <w:pPr>
        <w:ind w:left="5754" w:hanging="360"/>
      </w:pPr>
    </w:lvl>
    <w:lvl w:ilvl="7" w:tplc="040E0019">
      <w:start w:val="1"/>
      <w:numFmt w:val="lowerLetter"/>
      <w:lvlText w:val="%8."/>
      <w:lvlJc w:val="left"/>
      <w:pPr>
        <w:ind w:left="6474" w:hanging="360"/>
      </w:pPr>
    </w:lvl>
    <w:lvl w:ilvl="8" w:tplc="040E001B">
      <w:start w:val="1"/>
      <w:numFmt w:val="lowerRoman"/>
      <w:lvlText w:val="%9."/>
      <w:lvlJc w:val="right"/>
      <w:pPr>
        <w:ind w:left="7194" w:hanging="180"/>
      </w:pPr>
    </w:lvl>
  </w:abstractNum>
  <w:abstractNum w:abstractNumId="5" w15:restartNumberingAfterBreak="0">
    <w:nsid w:val="14966EBF"/>
    <w:multiLevelType w:val="hybridMultilevel"/>
    <w:tmpl w:val="A84E227C"/>
    <w:lvl w:ilvl="0" w:tplc="040E0017">
      <w:start w:val="1"/>
      <w:numFmt w:val="lowerLetter"/>
      <w:lvlText w:val="%1)"/>
      <w:lvlJc w:val="left"/>
      <w:pPr>
        <w:ind w:left="1786" w:hanging="360"/>
      </w:pPr>
    </w:lvl>
    <w:lvl w:ilvl="1" w:tplc="040E0019">
      <w:start w:val="1"/>
      <w:numFmt w:val="lowerLetter"/>
      <w:lvlText w:val="%2."/>
      <w:lvlJc w:val="left"/>
      <w:pPr>
        <w:ind w:left="2506" w:hanging="360"/>
      </w:pPr>
    </w:lvl>
    <w:lvl w:ilvl="2" w:tplc="040E001B">
      <w:start w:val="1"/>
      <w:numFmt w:val="lowerRoman"/>
      <w:lvlText w:val="%3."/>
      <w:lvlJc w:val="right"/>
      <w:pPr>
        <w:ind w:left="3226" w:hanging="180"/>
      </w:pPr>
    </w:lvl>
    <w:lvl w:ilvl="3" w:tplc="040E000F">
      <w:start w:val="1"/>
      <w:numFmt w:val="decimal"/>
      <w:lvlText w:val="%4."/>
      <w:lvlJc w:val="left"/>
      <w:pPr>
        <w:ind w:left="3946" w:hanging="360"/>
      </w:pPr>
    </w:lvl>
    <w:lvl w:ilvl="4" w:tplc="040E0019">
      <w:start w:val="1"/>
      <w:numFmt w:val="lowerLetter"/>
      <w:lvlText w:val="%5."/>
      <w:lvlJc w:val="left"/>
      <w:pPr>
        <w:ind w:left="4666" w:hanging="360"/>
      </w:pPr>
    </w:lvl>
    <w:lvl w:ilvl="5" w:tplc="040E001B">
      <w:start w:val="1"/>
      <w:numFmt w:val="lowerRoman"/>
      <w:lvlText w:val="%6."/>
      <w:lvlJc w:val="right"/>
      <w:pPr>
        <w:ind w:left="5386" w:hanging="180"/>
      </w:pPr>
    </w:lvl>
    <w:lvl w:ilvl="6" w:tplc="040E000F">
      <w:start w:val="1"/>
      <w:numFmt w:val="decimal"/>
      <w:lvlText w:val="%7."/>
      <w:lvlJc w:val="left"/>
      <w:pPr>
        <w:ind w:left="6106" w:hanging="360"/>
      </w:pPr>
    </w:lvl>
    <w:lvl w:ilvl="7" w:tplc="040E0019">
      <w:start w:val="1"/>
      <w:numFmt w:val="lowerLetter"/>
      <w:lvlText w:val="%8."/>
      <w:lvlJc w:val="left"/>
      <w:pPr>
        <w:ind w:left="6826" w:hanging="360"/>
      </w:pPr>
    </w:lvl>
    <w:lvl w:ilvl="8" w:tplc="040E001B">
      <w:start w:val="1"/>
      <w:numFmt w:val="lowerRoman"/>
      <w:lvlText w:val="%9."/>
      <w:lvlJc w:val="right"/>
      <w:pPr>
        <w:ind w:left="7546" w:hanging="180"/>
      </w:pPr>
    </w:lvl>
  </w:abstractNum>
  <w:abstractNum w:abstractNumId="6" w15:restartNumberingAfterBreak="0">
    <w:nsid w:val="1EDF773B"/>
    <w:multiLevelType w:val="multilevel"/>
    <w:tmpl w:val="C1D45D3C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  <w:rPr>
        <w:b/>
        <w:sz w:val="24"/>
        <w:szCs w:val="24"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sz w:val="24"/>
        <w:szCs w:val="24"/>
        <w:vertAlign w:val="baseline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16C66FB"/>
    <w:multiLevelType w:val="hybridMultilevel"/>
    <w:tmpl w:val="ECB20FB4"/>
    <w:lvl w:ilvl="0" w:tplc="040E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" w15:restartNumberingAfterBreak="0">
    <w:nsid w:val="21877E2F"/>
    <w:multiLevelType w:val="hybridMultilevel"/>
    <w:tmpl w:val="2946D8A6"/>
    <w:lvl w:ilvl="0" w:tplc="040E0017">
      <w:start w:val="1"/>
      <w:numFmt w:val="lowerLetter"/>
      <w:lvlText w:val="%1)"/>
      <w:lvlJc w:val="left"/>
      <w:pPr>
        <w:ind w:left="2149" w:hanging="360"/>
      </w:pPr>
    </w:lvl>
    <w:lvl w:ilvl="1" w:tplc="040E0019">
      <w:start w:val="1"/>
      <w:numFmt w:val="lowerLetter"/>
      <w:lvlText w:val="%2."/>
      <w:lvlJc w:val="left"/>
      <w:pPr>
        <w:ind w:left="2869" w:hanging="360"/>
      </w:pPr>
    </w:lvl>
    <w:lvl w:ilvl="2" w:tplc="040E001B">
      <w:start w:val="1"/>
      <w:numFmt w:val="lowerRoman"/>
      <w:lvlText w:val="%3."/>
      <w:lvlJc w:val="right"/>
      <w:pPr>
        <w:ind w:left="3589" w:hanging="180"/>
      </w:pPr>
    </w:lvl>
    <w:lvl w:ilvl="3" w:tplc="040E000F">
      <w:start w:val="1"/>
      <w:numFmt w:val="decimal"/>
      <w:lvlText w:val="%4."/>
      <w:lvlJc w:val="left"/>
      <w:pPr>
        <w:ind w:left="4309" w:hanging="360"/>
      </w:pPr>
    </w:lvl>
    <w:lvl w:ilvl="4" w:tplc="040E0019">
      <w:start w:val="1"/>
      <w:numFmt w:val="lowerLetter"/>
      <w:lvlText w:val="%5."/>
      <w:lvlJc w:val="left"/>
      <w:pPr>
        <w:ind w:left="5029" w:hanging="360"/>
      </w:pPr>
    </w:lvl>
    <w:lvl w:ilvl="5" w:tplc="040E001B">
      <w:start w:val="1"/>
      <w:numFmt w:val="lowerRoman"/>
      <w:lvlText w:val="%6."/>
      <w:lvlJc w:val="right"/>
      <w:pPr>
        <w:ind w:left="5749" w:hanging="180"/>
      </w:pPr>
    </w:lvl>
    <w:lvl w:ilvl="6" w:tplc="040E000F">
      <w:start w:val="1"/>
      <w:numFmt w:val="decimal"/>
      <w:lvlText w:val="%7."/>
      <w:lvlJc w:val="left"/>
      <w:pPr>
        <w:ind w:left="6469" w:hanging="360"/>
      </w:pPr>
    </w:lvl>
    <w:lvl w:ilvl="7" w:tplc="040E0019">
      <w:start w:val="1"/>
      <w:numFmt w:val="lowerLetter"/>
      <w:lvlText w:val="%8."/>
      <w:lvlJc w:val="left"/>
      <w:pPr>
        <w:ind w:left="7189" w:hanging="360"/>
      </w:pPr>
    </w:lvl>
    <w:lvl w:ilvl="8" w:tplc="040E001B">
      <w:start w:val="1"/>
      <w:numFmt w:val="lowerRoman"/>
      <w:lvlText w:val="%9."/>
      <w:lvlJc w:val="right"/>
      <w:pPr>
        <w:ind w:left="7909" w:hanging="180"/>
      </w:pPr>
    </w:lvl>
  </w:abstractNum>
  <w:abstractNum w:abstractNumId="9" w15:restartNumberingAfterBreak="0">
    <w:nsid w:val="21D17CD7"/>
    <w:multiLevelType w:val="hybridMultilevel"/>
    <w:tmpl w:val="0AD6EE72"/>
    <w:lvl w:ilvl="0" w:tplc="040E0017">
      <w:start w:val="1"/>
      <w:numFmt w:val="lowerLetter"/>
      <w:lvlText w:val="%1)"/>
      <w:lvlJc w:val="left"/>
      <w:pPr>
        <w:ind w:left="1429" w:hanging="360"/>
      </w:pPr>
    </w:lvl>
    <w:lvl w:ilvl="1" w:tplc="040E0019">
      <w:start w:val="1"/>
      <w:numFmt w:val="lowerLetter"/>
      <w:lvlText w:val="%2."/>
      <w:lvlJc w:val="left"/>
      <w:pPr>
        <w:ind w:left="2149" w:hanging="360"/>
      </w:pPr>
    </w:lvl>
    <w:lvl w:ilvl="2" w:tplc="040E001B">
      <w:start w:val="1"/>
      <w:numFmt w:val="lowerRoman"/>
      <w:lvlText w:val="%3."/>
      <w:lvlJc w:val="right"/>
      <w:pPr>
        <w:ind w:left="2869" w:hanging="180"/>
      </w:pPr>
    </w:lvl>
    <w:lvl w:ilvl="3" w:tplc="040E000F">
      <w:start w:val="1"/>
      <w:numFmt w:val="decimal"/>
      <w:lvlText w:val="%4."/>
      <w:lvlJc w:val="left"/>
      <w:pPr>
        <w:ind w:left="3589" w:hanging="360"/>
      </w:pPr>
    </w:lvl>
    <w:lvl w:ilvl="4" w:tplc="040E0019">
      <w:start w:val="1"/>
      <w:numFmt w:val="lowerLetter"/>
      <w:lvlText w:val="%5."/>
      <w:lvlJc w:val="left"/>
      <w:pPr>
        <w:ind w:left="4309" w:hanging="360"/>
      </w:pPr>
    </w:lvl>
    <w:lvl w:ilvl="5" w:tplc="040E001B">
      <w:start w:val="1"/>
      <w:numFmt w:val="lowerRoman"/>
      <w:lvlText w:val="%6."/>
      <w:lvlJc w:val="right"/>
      <w:pPr>
        <w:ind w:left="5029" w:hanging="180"/>
      </w:pPr>
    </w:lvl>
    <w:lvl w:ilvl="6" w:tplc="040E000F">
      <w:start w:val="1"/>
      <w:numFmt w:val="decimal"/>
      <w:lvlText w:val="%7."/>
      <w:lvlJc w:val="left"/>
      <w:pPr>
        <w:ind w:left="5749" w:hanging="360"/>
      </w:pPr>
    </w:lvl>
    <w:lvl w:ilvl="7" w:tplc="040E0019">
      <w:start w:val="1"/>
      <w:numFmt w:val="lowerLetter"/>
      <w:lvlText w:val="%8."/>
      <w:lvlJc w:val="left"/>
      <w:pPr>
        <w:ind w:left="6469" w:hanging="360"/>
      </w:pPr>
    </w:lvl>
    <w:lvl w:ilvl="8" w:tplc="040E001B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27F1633"/>
    <w:multiLevelType w:val="hybridMultilevel"/>
    <w:tmpl w:val="FE4C508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66B0B14"/>
    <w:multiLevelType w:val="hybridMultilevel"/>
    <w:tmpl w:val="726ABD8A"/>
    <w:lvl w:ilvl="0" w:tplc="87C6484E">
      <w:start w:val="2"/>
      <w:numFmt w:val="decimal"/>
      <w:lvlText w:val="%1."/>
      <w:lvlJc w:val="left"/>
      <w:pPr>
        <w:ind w:left="1788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7C0570"/>
    <w:multiLevelType w:val="hybridMultilevel"/>
    <w:tmpl w:val="96C6C244"/>
    <w:lvl w:ilvl="0" w:tplc="5156B85C">
      <w:start w:val="1"/>
      <w:numFmt w:val="lowerLetter"/>
      <w:lvlText w:val="%1)"/>
      <w:lvlJc w:val="left"/>
      <w:pPr>
        <w:ind w:left="1429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352326"/>
    <w:multiLevelType w:val="hybridMultilevel"/>
    <w:tmpl w:val="20585184"/>
    <w:lvl w:ilvl="0" w:tplc="D610A876">
      <w:start w:val="2"/>
      <w:numFmt w:val="lowerLetter"/>
      <w:lvlText w:val="%1)"/>
      <w:lvlJc w:val="left"/>
      <w:pPr>
        <w:ind w:left="1429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8E0C7C"/>
    <w:multiLevelType w:val="hybridMultilevel"/>
    <w:tmpl w:val="60E0E9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7A4799"/>
    <w:multiLevelType w:val="hybridMultilevel"/>
    <w:tmpl w:val="04C2FDE0"/>
    <w:lvl w:ilvl="0" w:tplc="040E0017">
      <w:start w:val="1"/>
      <w:numFmt w:val="lowerLetter"/>
      <w:lvlText w:val="%1)"/>
      <w:lvlJc w:val="left"/>
      <w:pPr>
        <w:ind w:left="1429" w:hanging="360"/>
      </w:pPr>
    </w:lvl>
    <w:lvl w:ilvl="1" w:tplc="040E0019">
      <w:start w:val="1"/>
      <w:numFmt w:val="lowerLetter"/>
      <w:lvlText w:val="%2."/>
      <w:lvlJc w:val="left"/>
      <w:pPr>
        <w:ind w:left="2149" w:hanging="360"/>
      </w:pPr>
    </w:lvl>
    <w:lvl w:ilvl="2" w:tplc="040E001B">
      <w:start w:val="1"/>
      <w:numFmt w:val="lowerRoman"/>
      <w:lvlText w:val="%3."/>
      <w:lvlJc w:val="right"/>
      <w:pPr>
        <w:ind w:left="2869" w:hanging="180"/>
      </w:pPr>
    </w:lvl>
    <w:lvl w:ilvl="3" w:tplc="040E000F">
      <w:start w:val="1"/>
      <w:numFmt w:val="decimal"/>
      <w:lvlText w:val="%4."/>
      <w:lvlJc w:val="left"/>
      <w:pPr>
        <w:ind w:left="3589" w:hanging="360"/>
      </w:pPr>
    </w:lvl>
    <w:lvl w:ilvl="4" w:tplc="040E0019">
      <w:start w:val="1"/>
      <w:numFmt w:val="lowerLetter"/>
      <w:lvlText w:val="%5."/>
      <w:lvlJc w:val="left"/>
      <w:pPr>
        <w:ind w:left="4309" w:hanging="360"/>
      </w:pPr>
    </w:lvl>
    <w:lvl w:ilvl="5" w:tplc="040E001B">
      <w:start w:val="1"/>
      <w:numFmt w:val="lowerRoman"/>
      <w:lvlText w:val="%6."/>
      <w:lvlJc w:val="right"/>
      <w:pPr>
        <w:ind w:left="5029" w:hanging="180"/>
      </w:pPr>
    </w:lvl>
    <w:lvl w:ilvl="6" w:tplc="040E000F">
      <w:start w:val="1"/>
      <w:numFmt w:val="decimal"/>
      <w:lvlText w:val="%7."/>
      <w:lvlJc w:val="left"/>
      <w:pPr>
        <w:ind w:left="5749" w:hanging="360"/>
      </w:pPr>
    </w:lvl>
    <w:lvl w:ilvl="7" w:tplc="040E0019">
      <w:start w:val="1"/>
      <w:numFmt w:val="lowerLetter"/>
      <w:lvlText w:val="%8."/>
      <w:lvlJc w:val="left"/>
      <w:pPr>
        <w:ind w:left="6469" w:hanging="360"/>
      </w:pPr>
    </w:lvl>
    <w:lvl w:ilvl="8" w:tplc="040E001B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F05539A"/>
    <w:multiLevelType w:val="hybridMultilevel"/>
    <w:tmpl w:val="07DE2AD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53B3D"/>
    <w:multiLevelType w:val="hybridMultilevel"/>
    <w:tmpl w:val="932A2FB2"/>
    <w:lvl w:ilvl="0" w:tplc="040E0001">
      <w:start w:val="1"/>
      <w:numFmt w:val="bullet"/>
      <w:lvlText w:val=""/>
      <w:lvlJc w:val="left"/>
      <w:pPr>
        <w:ind w:left="1767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207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927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647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367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6087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807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527" w:hanging="360"/>
      </w:pPr>
      <w:rPr>
        <w:rFonts w:ascii="Wingdings" w:hAnsi="Wingdings" w:hint="default"/>
      </w:rPr>
    </w:lvl>
  </w:abstractNum>
  <w:abstractNum w:abstractNumId="18" w15:restartNumberingAfterBreak="0">
    <w:nsid w:val="4C186A99"/>
    <w:multiLevelType w:val="hybridMultilevel"/>
    <w:tmpl w:val="42EA8C02"/>
    <w:lvl w:ilvl="0" w:tplc="2578C154">
      <w:start w:val="1"/>
      <w:numFmt w:val="lowerLetter"/>
      <w:lvlText w:val="%1)"/>
      <w:lvlJc w:val="left"/>
      <w:pPr>
        <w:ind w:left="1788" w:hanging="360"/>
      </w:pPr>
    </w:lvl>
    <w:lvl w:ilvl="1" w:tplc="040E0019">
      <w:start w:val="1"/>
      <w:numFmt w:val="lowerLetter"/>
      <w:lvlText w:val="%2."/>
      <w:lvlJc w:val="left"/>
      <w:pPr>
        <w:ind w:left="2508" w:hanging="360"/>
      </w:pPr>
    </w:lvl>
    <w:lvl w:ilvl="2" w:tplc="040E001B">
      <w:start w:val="1"/>
      <w:numFmt w:val="lowerRoman"/>
      <w:lvlText w:val="%3."/>
      <w:lvlJc w:val="right"/>
      <w:pPr>
        <w:ind w:left="3228" w:hanging="180"/>
      </w:pPr>
    </w:lvl>
    <w:lvl w:ilvl="3" w:tplc="040E000F">
      <w:start w:val="1"/>
      <w:numFmt w:val="decimal"/>
      <w:lvlText w:val="%4."/>
      <w:lvlJc w:val="left"/>
      <w:pPr>
        <w:ind w:left="3948" w:hanging="360"/>
      </w:pPr>
    </w:lvl>
    <w:lvl w:ilvl="4" w:tplc="040E0019">
      <w:start w:val="1"/>
      <w:numFmt w:val="lowerLetter"/>
      <w:lvlText w:val="%5."/>
      <w:lvlJc w:val="left"/>
      <w:pPr>
        <w:ind w:left="4668" w:hanging="360"/>
      </w:pPr>
    </w:lvl>
    <w:lvl w:ilvl="5" w:tplc="040E001B">
      <w:start w:val="1"/>
      <w:numFmt w:val="lowerRoman"/>
      <w:lvlText w:val="%6."/>
      <w:lvlJc w:val="right"/>
      <w:pPr>
        <w:ind w:left="5388" w:hanging="180"/>
      </w:pPr>
    </w:lvl>
    <w:lvl w:ilvl="6" w:tplc="040E000F">
      <w:start w:val="1"/>
      <w:numFmt w:val="decimal"/>
      <w:lvlText w:val="%7."/>
      <w:lvlJc w:val="left"/>
      <w:pPr>
        <w:ind w:left="6108" w:hanging="360"/>
      </w:pPr>
    </w:lvl>
    <w:lvl w:ilvl="7" w:tplc="040E0019">
      <w:start w:val="1"/>
      <w:numFmt w:val="lowerLetter"/>
      <w:lvlText w:val="%8."/>
      <w:lvlJc w:val="left"/>
      <w:pPr>
        <w:ind w:left="6828" w:hanging="360"/>
      </w:pPr>
    </w:lvl>
    <w:lvl w:ilvl="8" w:tplc="040E001B">
      <w:start w:val="1"/>
      <w:numFmt w:val="lowerRoman"/>
      <w:lvlText w:val="%9."/>
      <w:lvlJc w:val="right"/>
      <w:pPr>
        <w:ind w:left="7548" w:hanging="180"/>
      </w:pPr>
    </w:lvl>
  </w:abstractNum>
  <w:abstractNum w:abstractNumId="19" w15:restartNumberingAfterBreak="0">
    <w:nsid w:val="59876455"/>
    <w:multiLevelType w:val="hybridMultilevel"/>
    <w:tmpl w:val="3FA64EA8"/>
    <w:lvl w:ilvl="0" w:tplc="938E126A">
      <w:start w:val="5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372E82"/>
    <w:multiLevelType w:val="hybridMultilevel"/>
    <w:tmpl w:val="6FF6CE00"/>
    <w:lvl w:ilvl="0" w:tplc="877C08A8">
      <w:start w:val="1"/>
      <w:numFmt w:val="lowerLetter"/>
      <w:lvlText w:val="%1)"/>
      <w:lvlJc w:val="left"/>
      <w:pPr>
        <w:ind w:left="1440" w:hanging="360"/>
      </w:p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6D961EA"/>
    <w:multiLevelType w:val="hybridMultilevel"/>
    <w:tmpl w:val="4CA85D00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CB7D4A"/>
    <w:multiLevelType w:val="hybridMultilevel"/>
    <w:tmpl w:val="B2866AD8"/>
    <w:lvl w:ilvl="0" w:tplc="B87AD332">
      <w:start w:val="1"/>
      <w:numFmt w:val="lowerLetter"/>
      <w:lvlText w:val="%1)"/>
      <w:lvlJc w:val="left"/>
      <w:pPr>
        <w:ind w:left="1786" w:hanging="360"/>
      </w:pPr>
    </w:lvl>
    <w:lvl w:ilvl="1" w:tplc="040E0019">
      <w:start w:val="1"/>
      <w:numFmt w:val="lowerLetter"/>
      <w:lvlText w:val="%2."/>
      <w:lvlJc w:val="left"/>
      <w:pPr>
        <w:ind w:left="2506" w:hanging="360"/>
      </w:pPr>
    </w:lvl>
    <w:lvl w:ilvl="2" w:tplc="040E001B">
      <w:start w:val="1"/>
      <w:numFmt w:val="lowerRoman"/>
      <w:lvlText w:val="%3."/>
      <w:lvlJc w:val="right"/>
      <w:pPr>
        <w:ind w:left="3226" w:hanging="180"/>
      </w:pPr>
    </w:lvl>
    <w:lvl w:ilvl="3" w:tplc="040E000F">
      <w:start w:val="1"/>
      <w:numFmt w:val="decimal"/>
      <w:lvlText w:val="%4."/>
      <w:lvlJc w:val="left"/>
      <w:pPr>
        <w:ind w:left="3946" w:hanging="360"/>
      </w:pPr>
    </w:lvl>
    <w:lvl w:ilvl="4" w:tplc="040E0019">
      <w:start w:val="1"/>
      <w:numFmt w:val="lowerLetter"/>
      <w:lvlText w:val="%5."/>
      <w:lvlJc w:val="left"/>
      <w:pPr>
        <w:ind w:left="4666" w:hanging="360"/>
      </w:pPr>
    </w:lvl>
    <w:lvl w:ilvl="5" w:tplc="040E001B">
      <w:start w:val="1"/>
      <w:numFmt w:val="lowerRoman"/>
      <w:lvlText w:val="%6."/>
      <w:lvlJc w:val="right"/>
      <w:pPr>
        <w:ind w:left="5386" w:hanging="180"/>
      </w:pPr>
    </w:lvl>
    <w:lvl w:ilvl="6" w:tplc="040E000F">
      <w:start w:val="1"/>
      <w:numFmt w:val="decimal"/>
      <w:lvlText w:val="%7."/>
      <w:lvlJc w:val="left"/>
      <w:pPr>
        <w:ind w:left="6106" w:hanging="360"/>
      </w:pPr>
    </w:lvl>
    <w:lvl w:ilvl="7" w:tplc="040E0019">
      <w:start w:val="1"/>
      <w:numFmt w:val="lowerLetter"/>
      <w:lvlText w:val="%8."/>
      <w:lvlJc w:val="left"/>
      <w:pPr>
        <w:ind w:left="6826" w:hanging="360"/>
      </w:pPr>
    </w:lvl>
    <w:lvl w:ilvl="8" w:tplc="040E001B">
      <w:start w:val="1"/>
      <w:numFmt w:val="lowerRoman"/>
      <w:lvlText w:val="%9."/>
      <w:lvlJc w:val="right"/>
      <w:pPr>
        <w:ind w:left="7546" w:hanging="180"/>
      </w:pPr>
    </w:lvl>
  </w:abstractNum>
  <w:abstractNum w:abstractNumId="23" w15:restartNumberingAfterBreak="0">
    <w:nsid w:val="73BB0D5B"/>
    <w:multiLevelType w:val="hybridMultilevel"/>
    <w:tmpl w:val="3048C8DE"/>
    <w:lvl w:ilvl="0" w:tplc="13202ECA">
      <w:start w:val="3"/>
      <w:numFmt w:val="decimal"/>
      <w:lvlText w:val="%1."/>
      <w:lvlJc w:val="left"/>
      <w:pPr>
        <w:ind w:left="1068" w:hanging="708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D512E5"/>
    <w:multiLevelType w:val="hybridMultilevel"/>
    <w:tmpl w:val="208622A4"/>
    <w:lvl w:ilvl="0" w:tplc="040E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7234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7954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8674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4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10"/>
  </w:num>
  <w:num w:numId="21">
    <w:abstractNumId w:val="3"/>
  </w:num>
  <w:num w:numId="22">
    <w:abstractNumId w:val="1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E23"/>
    <w:rsid w:val="001C252B"/>
    <w:rsid w:val="0039032B"/>
    <w:rsid w:val="0063099D"/>
    <w:rsid w:val="00663958"/>
    <w:rsid w:val="007B76F4"/>
    <w:rsid w:val="0092771C"/>
    <w:rsid w:val="00A17D1D"/>
    <w:rsid w:val="00AF2A99"/>
    <w:rsid w:val="00BE0F23"/>
    <w:rsid w:val="00D8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73264"/>
  <w15:chartTrackingRefBased/>
  <w15:docId w15:val="{D2DA6320-CE93-4132-9AFD-E2CD2A4EB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D85E23"/>
    <w:pPr>
      <w:keepNext/>
      <w:numPr>
        <w:numId w:val="1"/>
      </w:numPr>
      <w:spacing w:after="0" w:line="360" w:lineRule="auto"/>
      <w:jc w:val="both"/>
      <w:outlineLvl w:val="0"/>
    </w:pPr>
    <w:rPr>
      <w:rFonts w:ascii="Times New Roman" w:hAnsi="Times New Roman" w:cs="Times New Roman"/>
      <w:b/>
      <w:bCs/>
      <w:kern w:val="36"/>
      <w:sz w:val="28"/>
      <w:szCs w:val="28"/>
      <w:lang w:eastAsia="hu-HU"/>
    </w:rPr>
  </w:style>
  <w:style w:type="paragraph" w:styleId="Cmsor2">
    <w:name w:val="heading 2"/>
    <w:basedOn w:val="Norml"/>
    <w:link w:val="Cmsor2Char"/>
    <w:uiPriority w:val="9"/>
    <w:semiHidden/>
    <w:unhideWhenUsed/>
    <w:qFormat/>
    <w:rsid w:val="00D85E23"/>
    <w:pPr>
      <w:keepNext/>
      <w:numPr>
        <w:ilvl w:val="1"/>
        <w:numId w:val="1"/>
      </w:numPr>
      <w:spacing w:after="0" w:line="240" w:lineRule="auto"/>
      <w:outlineLvl w:val="1"/>
    </w:pPr>
    <w:rPr>
      <w:rFonts w:ascii="Times New Roman" w:hAnsi="Times New Roman" w:cs="Times New Roman"/>
      <w:b/>
      <w:bCs/>
      <w:sz w:val="24"/>
      <w:szCs w:val="24"/>
      <w:lang w:eastAsia="hu-HU"/>
    </w:rPr>
  </w:style>
  <w:style w:type="paragraph" w:styleId="Cmsor3">
    <w:name w:val="heading 3"/>
    <w:basedOn w:val="Norml"/>
    <w:link w:val="Cmsor3Char"/>
    <w:uiPriority w:val="9"/>
    <w:semiHidden/>
    <w:unhideWhenUsed/>
    <w:qFormat/>
    <w:rsid w:val="00D85E23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Times New Roman" w:hAnsi="Times New Roman" w:cs="Times New Roman"/>
      <w:b/>
      <w:bCs/>
      <w:sz w:val="24"/>
      <w:szCs w:val="24"/>
      <w:lang w:eastAsia="hu-HU"/>
    </w:rPr>
  </w:style>
  <w:style w:type="paragraph" w:styleId="Cmsor4">
    <w:name w:val="heading 4"/>
    <w:basedOn w:val="Norml"/>
    <w:link w:val="Cmsor4Char"/>
    <w:uiPriority w:val="9"/>
    <w:semiHidden/>
    <w:unhideWhenUsed/>
    <w:qFormat/>
    <w:rsid w:val="00D85E23"/>
    <w:pPr>
      <w:keepNext/>
      <w:numPr>
        <w:ilvl w:val="3"/>
        <w:numId w:val="1"/>
      </w:numPr>
      <w:spacing w:after="0" w:line="360" w:lineRule="auto"/>
      <w:jc w:val="both"/>
      <w:outlineLvl w:val="3"/>
    </w:pPr>
    <w:rPr>
      <w:rFonts w:ascii="Times New Roman" w:hAnsi="Times New Roman" w:cs="Times New Roman"/>
      <w:b/>
      <w:bCs/>
      <w:sz w:val="24"/>
      <w:szCs w:val="24"/>
      <w:lang w:eastAsia="hu-HU"/>
    </w:rPr>
  </w:style>
  <w:style w:type="paragraph" w:styleId="Cmsor5">
    <w:name w:val="heading 5"/>
    <w:basedOn w:val="Norml"/>
    <w:link w:val="Cmsor5Char"/>
    <w:uiPriority w:val="9"/>
    <w:semiHidden/>
    <w:unhideWhenUsed/>
    <w:qFormat/>
    <w:rsid w:val="00D85E23"/>
    <w:pPr>
      <w:keepNext/>
      <w:numPr>
        <w:ilvl w:val="4"/>
        <w:numId w:val="1"/>
      </w:numPr>
      <w:spacing w:after="0" w:line="240" w:lineRule="auto"/>
      <w:outlineLvl w:val="4"/>
    </w:pPr>
    <w:rPr>
      <w:rFonts w:ascii="Times New Roman" w:hAnsi="Times New Roman" w:cs="Times New Roman"/>
      <w:b/>
      <w:bCs/>
      <w:sz w:val="32"/>
      <w:szCs w:val="32"/>
      <w:lang w:eastAsia="hu-HU"/>
    </w:rPr>
  </w:style>
  <w:style w:type="paragraph" w:styleId="Cmsor6">
    <w:name w:val="heading 6"/>
    <w:basedOn w:val="Norml"/>
    <w:link w:val="Cmsor6Char"/>
    <w:uiPriority w:val="9"/>
    <w:semiHidden/>
    <w:unhideWhenUsed/>
    <w:qFormat/>
    <w:rsid w:val="00D85E23"/>
    <w:pPr>
      <w:keepNext/>
      <w:numPr>
        <w:ilvl w:val="5"/>
        <w:numId w:val="1"/>
      </w:numPr>
      <w:spacing w:after="0" w:line="360" w:lineRule="auto"/>
      <w:jc w:val="both"/>
      <w:outlineLvl w:val="5"/>
    </w:pPr>
    <w:rPr>
      <w:rFonts w:ascii="Times New Roman" w:hAnsi="Times New Roman" w:cs="Times New Roman"/>
      <w:sz w:val="24"/>
      <w:szCs w:val="24"/>
      <w:u w:val="single"/>
      <w:lang w:eastAsia="hu-HU"/>
    </w:rPr>
  </w:style>
  <w:style w:type="paragraph" w:styleId="Cmsor7">
    <w:name w:val="heading 7"/>
    <w:basedOn w:val="Norml"/>
    <w:link w:val="Cmsor7Char"/>
    <w:uiPriority w:val="9"/>
    <w:semiHidden/>
    <w:unhideWhenUsed/>
    <w:qFormat/>
    <w:rsid w:val="00D85E23"/>
    <w:pPr>
      <w:keepNext/>
      <w:numPr>
        <w:ilvl w:val="6"/>
        <w:numId w:val="1"/>
      </w:numPr>
      <w:spacing w:after="0" w:line="300" w:lineRule="atLeast"/>
      <w:jc w:val="both"/>
      <w:outlineLvl w:val="6"/>
    </w:pPr>
    <w:rPr>
      <w:rFonts w:ascii="Times New Roman" w:hAnsi="Times New Roman" w:cs="Times New Roman"/>
      <w:color w:val="000000"/>
      <w:sz w:val="24"/>
      <w:szCs w:val="24"/>
      <w:u w:val="single"/>
      <w:lang w:eastAsia="hu-HU"/>
    </w:rPr>
  </w:style>
  <w:style w:type="paragraph" w:styleId="Cmsor8">
    <w:name w:val="heading 8"/>
    <w:basedOn w:val="Norml"/>
    <w:link w:val="Cmsor8Char"/>
    <w:uiPriority w:val="9"/>
    <w:semiHidden/>
    <w:unhideWhenUsed/>
    <w:qFormat/>
    <w:rsid w:val="00D85E23"/>
    <w:pPr>
      <w:keepNext/>
      <w:numPr>
        <w:ilvl w:val="7"/>
        <w:numId w:val="1"/>
      </w:numPr>
      <w:spacing w:after="0" w:line="360" w:lineRule="auto"/>
      <w:jc w:val="center"/>
      <w:outlineLvl w:val="7"/>
    </w:pPr>
    <w:rPr>
      <w:rFonts w:ascii="Times New Roman" w:hAnsi="Times New Roman" w:cs="Times New Roman"/>
      <w:b/>
      <w:bCs/>
      <w:sz w:val="36"/>
      <w:szCs w:val="36"/>
      <w:lang w:eastAsia="hu-HU"/>
    </w:rPr>
  </w:style>
  <w:style w:type="paragraph" w:styleId="Cmsor9">
    <w:name w:val="heading 9"/>
    <w:basedOn w:val="Norml"/>
    <w:link w:val="Cmsor9Char"/>
    <w:uiPriority w:val="9"/>
    <w:semiHidden/>
    <w:unhideWhenUsed/>
    <w:qFormat/>
    <w:rsid w:val="00D85E23"/>
    <w:pPr>
      <w:numPr>
        <w:ilvl w:val="8"/>
        <w:numId w:val="1"/>
      </w:numPr>
      <w:spacing w:before="240" w:after="60" w:line="240" w:lineRule="auto"/>
      <w:outlineLvl w:val="8"/>
    </w:pPr>
    <w:rPr>
      <w:rFonts w:ascii="Calibri Light" w:hAnsi="Calibri Light" w:cs="Calibri Light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85E23"/>
    <w:rPr>
      <w:rFonts w:ascii="Times New Roman" w:hAnsi="Times New Roman" w:cs="Times New Roman"/>
      <w:b/>
      <w:bCs/>
      <w:kern w:val="36"/>
      <w:sz w:val="28"/>
      <w:szCs w:val="2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D85E23"/>
    <w:rPr>
      <w:rFonts w:ascii="Times New Roman" w:hAnsi="Times New Roman" w:cs="Times New Roman"/>
      <w:b/>
      <w:bCs/>
      <w:sz w:val="24"/>
      <w:szCs w:val="24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D85E23"/>
    <w:rPr>
      <w:rFonts w:ascii="Times New Roman" w:hAnsi="Times New Roman" w:cs="Times New Roman"/>
      <w:b/>
      <w:bCs/>
      <w:sz w:val="24"/>
      <w:szCs w:val="24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D85E23"/>
    <w:rPr>
      <w:rFonts w:ascii="Times New Roman" w:hAnsi="Times New Roman" w:cs="Times New Roman"/>
      <w:b/>
      <w:bCs/>
      <w:sz w:val="24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D85E23"/>
    <w:rPr>
      <w:rFonts w:ascii="Times New Roman" w:hAnsi="Times New Roman" w:cs="Times New Roman"/>
      <w:b/>
      <w:bCs/>
      <w:sz w:val="32"/>
      <w:szCs w:val="32"/>
      <w:lang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D85E23"/>
    <w:rPr>
      <w:rFonts w:ascii="Times New Roman" w:hAnsi="Times New Roman" w:cs="Times New Roman"/>
      <w:sz w:val="24"/>
      <w:szCs w:val="24"/>
      <w:u w:val="single"/>
      <w:lang w:eastAsia="hu-HU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D85E23"/>
    <w:rPr>
      <w:rFonts w:ascii="Times New Roman" w:hAnsi="Times New Roman" w:cs="Times New Roman"/>
      <w:color w:val="000000"/>
      <w:sz w:val="24"/>
      <w:szCs w:val="24"/>
      <w:u w:val="single"/>
      <w:lang w:eastAsia="hu-HU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D85E23"/>
    <w:rPr>
      <w:rFonts w:ascii="Times New Roman" w:hAnsi="Times New Roman" w:cs="Times New Roman"/>
      <w:b/>
      <w:bCs/>
      <w:sz w:val="36"/>
      <w:szCs w:val="36"/>
      <w:lang w:eastAsia="hu-HU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D85E23"/>
    <w:rPr>
      <w:rFonts w:ascii="Calibri Light" w:hAnsi="Calibri Light" w:cs="Calibri Light"/>
      <w:lang w:eastAsia="hu-HU"/>
    </w:rPr>
  </w:style>
  <w:style w:type="paragraph" w:styleId="Listaszerbekezds">
    <w:name w:val="List Paragraph"/>
    <w:basedOn w:val="Norml"/>
    <w:uiPriority w:val="34"/>
    <w:qFormat/>
    <w:rsid w:val="00D85E23"/>
    <w:pPr>
      <w:spacing w:after="0" w:line="240" w:lineRule="auto"/>
      <w:ind w:left="720"/>
    </w:pPr>
    <w:rPr>
      <w:rFonts w:ascii="Calibri" w:hAnsi="Calibri" w:cs="Calibri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85E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E23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semiHidden/>
    <w:unhideWhenUsed/>
    <w:rsid w:val="00BE0F2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39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hyperlink" Target="https://kezikonyv.meevet.hu/" TargetMode="External"/><Relationship Id="rId15" Type="http://schemas.openxmlformats.org/officeDocument/2006/relationships/image" Target="cid:image003.jpg@01D50FAA.C6D82A50" TargetMode="Externa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2772</Words>
  <Characters>19129</Characters>
  <Application>Microsoft Office Word</Application>
  <DocSecurity>0</DocSecurity>
  <Lines>159</Lines>
  <Paragraphs>43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Soósné Kropp, Tünde</dc:creator>
  <cp:keywords/>
  <dc:description/>
  <cp:lastModifiedBy>Soósné Kropp, Tünde</cp:lastModifiedBy>
  <cp:revision>11</cp:revision>
  <dcterms:created xsi:type="dcterms:W3CDTF">2020-08-17T13:10:00Z</dcterms:created>
  <dcterms:modified xsi:type="dcterms:W3CDTF">2020-09-04T09:34:00Z</dcterms:modified>
</cp:coreProperties>
</file>